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72CD" w:rsidRDefault="00A372CD" w:rsidP="000B51DC">
      <w:pPr>
        <w:jc w:val="center"/>
        <w:rPr>
          <w:rFonts w:ascii="Arial" w:hAnsi="Arial" w:cs="Arial"/>
          <w:b/>
          <w:bCs/>
          <w:sz w:val="24"/>
          <w:szCs w:val="24"/>
          <w:u w:val="single"/>
        </w:rPr>
      </w:pPr>
      <w:r>
        <w:rPr>
          <w:noProof/>
          <w:color w:val="1F497D"/>
        </w:rPr>
        <w:drawing>
          <wp:inline distT="0" distB="0" distL="0" distR="0">
            <wp:extent cx="982980" cy="982980"/>
            <wp:effectExtent l="0" t="0" r="7620" b="7620"/>
            <wp:docPr id="1"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82980" cy="982980"/>
                    </a:xfrm>
                    <a:prstGeom prst="rect">
                      <a:avLst/>
                    </a:prstGeom>
                    <a:noFill/>
                    <a:ln>
                      <a:noFill/>
                    </a:ln>
                  </pic:spPr>
                </pic:pic>
              </a:graphicData>
            </a:graphic>
          </wp:inline>
        </w:drawing>
      </w:r>
    </w:p>
    <w:p w:rsidR="002D160B" w:rsidRPr="00A372CD" w:rsidRDefault="002D160B" w:rsidP="002D160B">
      <w:pPr>
        <w:jc w:val="center"/>
        <w:rPr>
          <w:rFonts w:ascii="Arial" w:hAnsi="Arial" w:cs="Arial"/>
          <w:b/>
          <w:bCs/>
          <w:sz w:val="28"/>
          <w:szCs w:val="28"/>
          <w:u w:val="single"/>
        </w:rPr>
      </w:pPr>
      <w:bookmarkStart w:id="0" w:name="_GoBack"/>
      <w:bookmarkEnd w:id="0"/>
      <w:r>
        <w:rPr>
          <w:rFonts w:ascii="Arial" w:hAnsi="Arial" w:cs="Arial"/>
          <w:b/>
          <w:bCs/>
          <w:sz w:val="28"/>
          <w:szCs w:val="28"/>
          <w:u w:val="single"/>
        </w:rPr>
        <w:t>First Amendment</w:t>
      </w:r>
    </w:p>
    <w:p w:rsidR="00B17003" w:rsidRDefault="00DE457D" w:rsidP="00B17003">
      <w:pPr>
        <w:jc w:val="center"/>
        <w:rPr>
          <w:rFonts w:ascii="Arial" w:eastAsia="Times New Roman" w:hAnsi="Arial" w:cs="Arial"/>
          <w:color w:val="000000"/>
          <w:sz w:val="24"/>
          <w:szCs w:val="24"/>
        </w:rPr>
      </w:pPr>
      <w:r w:rsidRPr="00A372CD">
        <w:rPr>
          <w:rFonts w:ascii="Arial" w:hAnsi="Arial" w:cs="Arial"/>
          <w:b/>
          <w:bCs/>
          <w:sz w:val="28"/>
          <w:szCs w:val="28"/>
          <w:u w:val="single"/>
        </w:rPr>
        <w:t>Sixth</w:t>
      </w:r>
      <w:r w:rsidR="000B51DC" w:rsidRPr="00A372CD">
        <w:rPr>
          <w:rFonts w:ascii="Arial" w:hAnsi="Arial" w:cs="Arial"/>
          <w:b/>
          <w:bCs/>
          <w:sz w:val="28"/>
          <w:szCs w:val="28"/>
          <w:u w:val="single"/>
        </w:rPr>
        <w:t xml:space="preserve"> </w:t>
      </w:r>
      <w:r w:rsidR="002B25E3" w:rsidRPr="00A372CD">
        <w:rPr>
          <w:rFonts w:ascii="Arial" w:hAnsi="Arial" w:cs="Arial"/>
          <w:b/>
          <w:bCs/>
          <w:sz w:val="28"/>
          <w:szCs w:val="28"/>
          <w:u w:val="single"/>
        </w:rPr>
        <w:t>Judicial District</w:t>
      </w:r>
      <w:r w:rsidR="000B51DC" w:rsidRPr="00A372CD">
        <w:rPr>
          <w:rFonts w:ascii="Arial" w:hAnsi="Arial" w:cs="Arial"/>
          <w:b/>
          <w:bCs/>
          <w:sz w:val="28"/>
          <w:szCs w:val="28"/>
          <w:u w:val="single"/>
        </w:rPr>
        <w:t xml:space="preserve"> </w:t>
      </w:r>
      <w:r w:rsidR="002B25E3" w:rsidRPr="00A372CD">
        <w:rPr>
          <w:rFonts w:ascii="Arial" w:hAnsi="Arial" w:cs="Arial"/>
          <w:b/>
          <w:bCs/>
          <w:sz w:val="28"/>
          <w:szCs w:val="28"/>
          <w:u w:val="single"/>
        </w:rPr>
        <w:t>Virtual Chambers Protoco</w:t>
      </w:r>
      <w:r w:rsidR="00675215">
        <w:rPr>
          <w:rFonts w:ascii="Arial" w:hAnsi="Arial" w:cs="Arial"/>
          <w:b/>
          <w:bCs/>
          <w:sz w:val="28"/>
          <w:szCs w:val="28"/>
          <w:u w:val="single"/>
        </w:rPr>
        <w:t>l (Phase I)</w:t>
      </w:r>
      <w:r w:rsidR="005754F0" w:rsidRPr="005754F0">
        <w:rPr>
          <w:rFonts w:ascii="Calibri-Bold" w:eastAsia="Times New Roman" w:hAnsi="Calibri-Bold" w:cs="Times New Roman"/>
          <w:b/>
          <w:bCs/>
          <w:color w:val="000000"/>
          <w:sz w:val="28"/>
          <w:szCs w:val="28"/>
        </w:rPr>
        <w:br/>
      </w:r>
    </w:p>
    <w:p w:rsidR="006740FE" w:rsidRPr="006740FE" w:rsidRDefault="006740FE" w:rsidP="006740FE">
      <w:pPr>
        <w:jc w:val="center"/>
        <w:rPr>
          <w:rStyle w:val="fontstyle01"/>
          <w:rFonts w:ascii="Arial" w:hAnsi="Arial" w:cs="Arial"/>
          <w:sz w:val="24"/>
          <w:szCs w:val="24"/>
        </w:rPr>
      </w:pPr>
      <w:r w:rsidRPr="006740FE">
        <w:rPr>
          <w:rStyle w:val="fontstyle01"/>
          <w:rFonts w:ascii="Arial" w:hAnsi="Arial" w:cs="Arial"/>
          <w:sz w:val="24"/>
          <w:szCs w:val="24"/>
        </w:rPr>
        <w:t>SURROGATE’S COURT</w:t>
      </w:r>
    </w:p>
    <w:p w:rsidR="006740FE" w:rsidRPr="006740FE" w:rsidRDefault="006740FE" w:rsidP="006740FE">
      <w:pPr>
        <w:jc w:val="both"/>
        <w:rPr>
          <w:rStyle w:val="fontstyle21"/>
          <w:rFonts w:ascii="Arial" w:hAnsi="Arial" w:cs="Arial"/>
          <w:sz w:val="24"/>
          <w:szCs w:val="24"/>
        </w:rPr>
      </w:pPr>
      <w:r w:rsidRPr="006740FE">
        <w:rPr>
          <w:rFonts w:ascii="Arial" w:hAnsi="Arial" w:cs="Arial"/>
          <w:b/>
          <w:bCs/>
          <w:color w:val="000000"/>
          <w:sz w:val="24"/>
          <w:szCs w:val="24"/>
        </w:rPr>
        <w:br/>
      </w:r>
      <w:r w:rsidRPr="006740FE">
        <w:rPr>
          <w:rStyle w:val="fontstyle21"/>
          <w:rFonts w:ascii="Arial" w:hAnsi="Arial" w:cs="Arial"/>
          <w:sz w:val="24"/>
          <w:szCs w:val="24"/>
        </w:rPr>
        <w:t xml:space="preserve">1. The </w:t>
      </w:r>
      <w:r>
        <w:rPr>
          <w:rStyle w:val="fontstyle21"/>
          <w:rFonts w:ascii="Arial" w:hAnsi="Arial" w:cs="Arial"/>
          <w:sz w:val="24"/>
          <w:szCs w:val="24"/>
        </w:rPr>
        <w:t>g</w:t>
      </w:r>
      <w:r w:rsidRPr="006740FE">
        <w:rPr>
          <w:rStyle w:val="fontstyle21"/>
          <w:rFonts w:ascii="Arial" w:hAnsi="Arial" w:cs="Arial"/>
          <w:sz w:val="24"/>
          <w:szCs w:val="24"/>
        </w:rPr>
        <w:t xml:space="preserve">eneral </w:t>
      </w:r>
      <w:r>
        <w:rPr>
          <w:rStyle w:val="fontstyle21"/>
          <w:rFonts w:ascii="Arial" w:hAnsi="Arial" w:cs="Arial"/>
          <w:sz w:val="24"/>
          <w:szCs w:val="24"/>
        </w:rPr>
        <w:t>p</w:t>
      </w:r>
      <w:r w:rsidRPr="006740FE">
        <w:rPr>
          <w:rStyle w:val="fontstyle21"/>
          <w:rFonts w:ascii="Arial" w:hAnsi="Arial" w:cs="Arial"/>
          <w:sz w:val="24"/>
          <w:szCs w:val="24"/>
        </w:rPr>
        <w:t xml:space="preserve">rovisions and </w:t>
      </w:r>
      <w:r>
        <w:rPr>
          <w:rStyle w:val="fontstyle21"/>
          <w:rFonts w:ascii="Arial" w:hAnsi="Arial" w:cs="Arial"/>
          <w:sz w:val="24"/>
          <w:szCs w:val="24"/>
        </w:rPr>
        <w:t>e</w:t>
      </w:r>
      <w:r w:rsidRPr="006740FE">
        <w:rPr>
          <w:rStyle w:val="fontstyle21"/>
          <w:rFonts w:ascii="Arial" w:hAnsi="Arial" w:cs="Arial"/>
          <w:sz w:val="24"/>
          <w:szCs w:val="24"/>
        </w:rPr>
        <w:t>xceptions outlined in the protocol distributed on April 10, 2020 shall apply, unless specifically excepted below as to certain new filings.</w:t>
      </w:r>
    </w:p>
    <w:p w:rsidR="006740FE" w:rsidRPr="006740FE" w:rsidRDefault="006740FE" w:rsidP="006740FE">
      <w:pPr>
        <w:jc w:val="both"/>
        <w:rPr>
          <w:rStyle w:val="fontstyle21"/>
          <w:rFonts w:ascii="Arial" w:hAnsi="Arial" w:cs="Arial"/>
          <w:sz w:val="24"/>
          <w:szCs w:val="24"/>
        </w:rPr>
      </w:pPr>
      <w:r w:rsidRPr="006740FE">
        <w:rPr>
          <w:rStyle w:val="fontstyle21"/>
          <w:rFonts w:ascii="Arial" w:hAnsi="Arial" w:cs="Arial"/>
          <w:sz w:val="24"/>
          <w:szCs w:val="24"/>
        </w:rPr>
        <w:t>2. Any pending motions and decisions shall be the first priority, along with pending cases</w:t>
      </w:r>
      <w:r w:rsidRPr="006740FE">
        <w:rPr>
          <w:rFonts w:ascii="Arial" w:hAnsi="Arial" w:cs="Arial"/>
          <w:color w:val="000000"/>
          <w:sz w:val="24"/>
          <w:szCs w:val="24"/>
        </w:rPr>
        <w:br/>
      </w:r>
      <w:r w:rsidRPr="006740FE">
        <w:rPr>
          <w:rStyle w:val="fontstyle21"/>
          <w:rFonts w:ascii="Arial" w:hAnsi="Arial" w:cs="Arial"/>
          <w:sz w:val="24"/>
          <w:szCs w:val="24"/>
        </w:rPr>
        <w:t>and existing filings.</w:t>
      </w:r>
    </w:p>
    <w:p w:rsidR="006740FE" w:rsidRPr="006740FE" w:rsidRDefault="006740FE" w:rsidP="006740FE">
      <w:pPr>
        <w:jc w:val="both"/>
        <w:rPr>
          <w:rStyle w:val="fontstyle21"/>
          <w:rFonts w:ascii="Arial" w:hAnsi="Arial" w:cs="Arial"/>
          <w:sz w:val="24"/>
          <w:szCs w:val="24"/>
        </w:rPr>
      </w:pPr>
      <w:r w:rsidRPr="006740FE">
        <w:rPr>
          <w:rStyle w:val="fontstyle21"/>
          <w:rFonts w:ascii="Arial" w:hAnsi="Arial" w:cs="Arial"/>
          <w:sz w:val="24"/>
          <w:szCs w:val="24"/>
        </w:rPr>
        <w:t>3. The filing of new estate/administration petitions shall be permitted for a fiduciary to be</w:t>
      </w:r>
      <w:r w:rsidRPr="006740FE">
        <w:rPr>
          <w:rFonts w:ascii="Arial" w:hAnsi="Arial" w:cs="Arial"/>
          <w:color w:val="000000"/>
          <w:sz w:val="24"/>
          <w:szCs w:val="24"/>
        </w:rPr>
        <w:br/>
      </w:r>
      <w:r w:rsidRPr="006740FE">
        <w:rPr>
          <w:rStyle w:val="fontstyle21"/>
          <w:rFonts w:ascii="Arial" w:hAnsi="Arial" w:cs="Arial"/>
          <w:sz w:val="24"/>
          <w:szCs w:val="24"/>
        </w:rPr>
        <w:t>appointed in order to protect estate assets while matters are pending, including preliminary</w:t>
      </w:r>
      <w:r>
        <w:rPr>
          <w:rStyle w:val="fontstyle21"/>
          <w:rFonts w:ascii="Arial" w:hAnsi="Arial" w:cs="Arial"/>
          <w:sz w:val="24"/>
          <w:szCs w:val="24"/>
        </w:rPr>
        <w:t xml:space="preserve"> </w:t>
      </w:r>
      <w:r w:rsidRPr="006740FE">
        <w:rPr>
          <w:rStyle w:val="fontstyle21"/>
          <w:rFonts w:ascii="Arial" w:hAnsi="Arial" w:cs="Arial"/>
          <w:sz w:val="24"/>
          <w:szCs w:val="24"/>
        </w:rPr>
        <w:t>appointment with restrictions, if appropriate. The petition shall be e-filed if</w:t>
      </w:r>
      <w:r>
        <w:rPr>
          <w:rStyle w:val="fontstyle21"/>
          <w:rFonts w:ascii="Arial" w:hAnsi="Arial" w:cs="Arial"/>
          <w:sz w:val="24"/>
          <w:szCs w:val="24"/>
        </w:rPr>
        <w:t xml:space="preserve"> </w:t>
      </w:r>
      <w:r w:rsidRPr="006740FE">
        <w:rPr>
          <w:rStyle w:val="fontstyle21"/>
          <w:rFonts w:ascii="Arial" w:hAnsi="Arial" w:cs="Arial"/>
          <w:sz w:val="24"/>
          <w:szCs w:val="24"/>
        </w:rPr>
        <w:t>NYSEF is available. If NYSEF</w:t>
      </w:r>
      <w:r>
        <w:rPr>
          <w:rStyle w:val="fontstyle21"/>
          <w:rFonts w:ascii="Arial" w:hAnsi="Arial" w:cs="Arial"/>
          <w:sz w:val="24"/>
          <w:szCs w:val="24"/>
        </w:rPr>
        <w:t xml:space="preserve"> </w:t>
      </w:r>
      <w:r w:rsidRPr="006740FE">
        <w:rPr>
          <w:rStyle w:val="fontstyle21"/>
          <w:rFonts w:ascii="Arial" w:hAnsi="Arial" w:cs="Arial"/>
          <w:sz w:val="24"/>
          <w:szCs w:val="24"/>
        </w:rPr>
        <w:t>is not available, the petition shall be filed with the Surrogate or a designee on duty at the Central Location and processed manually until such time that the NYSEF system is available.</w:t>
      </w:r>
    </w:p>
    <w:p w:rsidR="006740FE" w:rsidRPr="006740FE" w:rsidRDefault="006740FE" w:rsidP="006740FE">
      <w:pPr>
        <w:jc w:val="both"/>
        <w:rPr>
          <w:rStyle w:val="fontstyle21"/>
          <w:rFonts w:ascii="Arial" w:hAnsi="Arial" w:cs="Arial"/>
          <w:sz w:val="24"/>
          <w:szCs w:val="24"/>
        </w:rPr>
      </w:pPr>
      <w:r w:rsidRPr="006740FE">
        <w:rPr>
          <w:rStyle w:val="fontstyle21"/>
          <w:rFonts w:ascii="Arial" w:hAnsi="Arial" w:cs="Arial"/>
          <w:sz w:val="24"/>
          <w:szCs w:val="24"/>
        </w:rPr>
        <w:t>4. Individual Chambers are not open for business and all hearing/conferences on essential</w:t>
      </w:r>
      <w:r>
        <w:rPr>
          <w:rStyle w:val="fontstyle21"/>
          <w:rFonts w:ascii="Arial" w:hAnsi="Arial" w:cs="Arial"/>
          <w:sz w:val="24"/>
          <w:szCs w:val="24"/>
        </w:rPr>
        <w:t xml:space="preserve"> </w:t>
      </w:r>
      <w:r w:rsidRPr="006740FE">
        <w:rPr>
          <w:rStyle w:val="fontstyle21"/>
          <w:rFonts w:ascii="Arial" w:hAnsi="Arial" w:cs="Arial"/>
          <w:sz w:val="24"/>
          <w:szCs w:val="24"/>
        </w:rPr>
        <w:t>or other urgent matters shall be conducted remotely and processed pursuant to existing Virtual</w:t>
      </w:r>
      <w:r>
        <w:rPr>
          <w:rStyle w:val="fontstyle21"/>
          <w:rFonts w:ascii="Arial" w:hAnsi="Arial" w:cs="Arial"/>
          <w:sz w:val="24"/>
          <w:szCs w:val="24"/>
        </w:rPr>
        <w:t xml:space="preserve"> </w:t>
      </w:r>
      <w:r w:rsidRPr="006740FE">
        <w:rPr>
          <w:rStyle w:val="fontstyle21"/>
          <w:rFonts w:ascii="Arial" w:hAnsi="Arial" w:cs="Arial"/>
          <w:sz w:val="24"/>
          <w:szCs w:val="24"/>
        </w:rPr>
        <w:t>Courtroom procedures at the Central Location. No citations to appear in court will be issued.</w:t>
      </w:r>
    </w:p>
    <w:p w:rsidR="006740FE" w:rsidRPr="006740FE" w:rsidRDefault="006740FE" w:rsidP="006740FE">
      <w:pPr>
        <w:jc w:val="both"/>
        <w:rPr>
          <w:rStyle w:val="fontstyle21"/>
          <w:rFonts w:ascii="Arial" w:hAnsi="Arial" w:cs="Arial"/>
          <w:sz w:val="24"/>
          <w:szCs w:val="24"/>
        </w:rPr>
      </w:pPr>
      <w:r w:rsidRPr="006740FE">
        <w:rPr>
          <w:rStyle w:val="fontstyle21"/>
          <w:rFonts w:ascii="Arial" w:hAnsi="Arial" w:cs="Arial"/>
          <w:sz w:val="24"/>
          <w:szCs w:val="24"/>
        </w:rPr>
        <w:t>5. A representative of the Court or a Court e-mail address shall be designated as the contact to address information hotline messages, questions and requests for permission to file petitions. A designated Court representative will constantly monitor these matters during regular court hours. The contact information shall be posted where possible and shared with local law firms and bar associations, in addition to being available through the District informational telephone lines.</w:t>
      </w:r>
    </w:p>
    <w:p w:rsidR="006740FE" w:rsidRPr="006740FE" w:rsidRDefault="006740FE" w:rsidP="006740FE">
      <w:pPr>
        <w:jc w:val="both"/>
        <w:rPr>
          <w:rStyle w:val="fontstyle21"/>
          <w:rFonts w:ascii="Arial" w:hAnsi="Arial" w:cs="Arial"/>
          <w:sz w:val="24"/>
          <w:szCs w:val="24"/>
        </w:rPr>
      </w:pPr>
      <w:r w:rsidRPr="006740FE">
        <w:rPr>
          <w:rStyle w:val="fontstyle21"/>
          <w:rFonts w:ascii="Arial" w:hAnsi="Arial" w:cs="Arial"/>
          <w:sz w:val="24"/>
          <w:szCs w:val="24"/>
        </w:rPr>
        <w:t xml:space="preserve">6. If a party seeks to file a petition requiring court action that does not qualify as “essential” but is of an urgent nature, the party shall do the following: </w:t>
      </w:r>
    </w:p>
    <w:p w:rsidR="006740FE" w:rsidRPr="006740FE" w:rsidRDefault="006740FE" w:rsidP="006740FE">
      <w:pPr>
        <w:ind w:left="720"/>
        <w:jc w:val="both"/>
        <w:rPr>
          <w:rStyle w:val="fontstyle21"/>
          <w:rFonts w:ascii="Arial" w:hAnsi="Arial" w:cs="Arial"/>
          <w:sz w:val="24"/>
          <w:szCs w:val="24"/>
        </w:rPr>
      </w:pPr>
      <w:r w:rsidRPr="006740FE">
        <w:rPr>
          <w:rStyle w:val="fontstyle21"/>
          <w:rFonts w:ascii="Arial" w:hAnsi="Arial" w:cs="Arial"/>
          <w:sz w:val="24"/>
          <w:szCs w:val="24"/>
        </w:rPr>
        <w:t>a. Submit a short worksheet, approved by the Administrative Judge, explaining the</w:t>
      </w:r>
      <w:r w:rsidRPr="006740FE">
        <w:rPr>
          <w:rFonts w:ascii="Arial" w:hAnsi="Arial" w:cs="Arial"/>
          <w:color w:val="000000"/>
          <w:sz w:val="24"/>
          <w:szCs w:val="24"/>
        </w:rPr>
        <w:br/>
      </w:r>
      <w:r w:rsidRPr="006740FE">
        <w:rPr>
          <w:rStyle w:val="fontstyle21"/>
          <w:rFonts w:ascii="Arial" w:hAnsi="Arial" w:cs="Arial"/>
          <w:sz w:val="24"/>
          <w:szCs w:val="24"/>
        </w:rPr>
        <w:t>reasons the petition requires immediate action to the Court via the identified contact email. The clerk will review or discuss with the Judge and a reply will be sent to the party directly as to whether they have permission to file their petition.</w:t>
      </w:r>
    </w:p>
    <w:p w:rsidR="006740FE" w:rsidRPr="006740FE" w:rsidRDefault="006740FE" w:rsidP="006740FE">
      <w:pPr>
        <w:ind w:left="720"/>
        <w:jc w:val="both"/>
        <w:rPr>
          <w:rStyle w:val="fontstyle21"/>
          <w:rFonts w:ascii="Arial" w:hAnsi="Arial" w:cs="Arial"/>
          <w:sz w:val="24"/>
          <w:szCs w:val="24"/>
        </w:rPr>
      </w:pPr>
      <w:r w:rsidRPr="006740FE">
        <w:rPr>
          <w:rStyle w:val="fontstyle21"/>
          <w:rFonts w:ascii="Arial" w:hAnsi="Arial" w:cs="Arial"/>
          <w:sz w:val="24"/>
          <w:szCs w:val="24"/>
        </w:rPr>
        <w:lastRenderedPageBreak/>
        <w:t>b. All petitions approved for filing shall be submitted via e-filing and credit cards</w:t>
      </w:r>
      <w:r w:rsidRPr="006740FE">
        <w:rPr>
          <w:rFonts w:ascii="Arial" w:hAnsi="Arial" w:cs="Arial"/>
          <w:color w:val="000000"/>
          <w:sz w:val="24"/>
          <w:szCs w:val="24"/>
        </w:rPr>
        <w:br/>
      </w:r>
      <w:r w:rsidRPr="006740FE">
        <w:rPr>
          <w:rStyle w:val="fontstyle21"/>
          <w:rFonts w:ascii="Arial" w:hAnsi="Arial" w:cs="Arial"/>
          <w:sz w:val="24"/>
          <w:szCs w:val="24"/>
        </w:rPr>
        <w:t>used for filing fees so that clerks can access remotely and perform all relevant tasks to process and review the petition. Using a credit card for filing fees is necessary for remote chambers so an employee does not have to enter the courthouse to manually deposit filing fees.</w:t>
      </w:r>
    </w:p>
    <w:p w:rsidR="006740FE" w:rsidRPr="006740FE" w:rsidRDefault="006740FE" w:rsidP="006740FE">
      <w:pPr>
        <w:ind w:left="720"/>
        <w:jc w:val="both"/>
        <w:rPr>
          <w:rStyle w:val="fontstyle21"/>
          <w:rFonts w:ascii="Arial" w:hAnsi="Arial" w:cs="Arial"/>
          <w:sz w:val="24"/>
          <w:szCs w:val="24"/>
        </w:rPr>
      </w:pPr>
      <w:r w:rsidRPr="006740FE">
        <w:rPr>
          <w:rStyle w:val="fontstyle21"/>
          <w:rFonts w:ascii="Arial" w:hAnsi="Arial" w:cs="Arial"/>
          <w:sz w:val="24"/>
          <w:szCs w:val="24"/>
        </w:rPr>
        <w:t>c. The e-filing system should be available for the filings of new estates,</w:t>
      </w:r>
      <w:r w:rsidRPr="006740FE">
        <w:rPr>
          <w:rFonts w:ascii="Arial" w:hAnsi="Arial" w:cs="Arial"/>
          <w:color w:val="000000"/>
          <w:sz w:val="24"/>
          <w:szCs w:val="24"/>
        </w:rPr>
        <w:br/>
      </w:r>
      <w:r w:rsidRPr="006740FE">
        <w:rPr>
          <w:rStyle w:val="fontstyle21"/>
          <w:rFonts w:ascii="Arial" w:hAnsi="Arial" w:cs="Arial"/>
          <w:sz w:val="24"/>
          <w:szCs w:val="24"/>
        </w:rPr>
        <w:t>administrations and the matters reference above paragraph A (1) or on an individual basis once the court has approved the filing.</w:t>
      </w:r>
    </w:p>
    <w:p w:rsidR="006740FE" w:rsidRPr="006740FE" w:rsidRDefault="006740FE" w:rsidP="006740FE">
      <w:pPr>
        <w:jc w:val="both"/>
        <w:rPr>
          <w:rStyle w:val="fontstyle21"/>
          <w:rFonts w:ascii="Arial" w:hAnsi="Arial" w:cs="Arial"/>
          <w:sz w:val="24"/>
          <w:szCs w:val="24"/>
        </w:rPr>
      </w:pPr>
      <w:r w:rsidRPr="006740FE">
        <w:rPr>
          <w:rStyle w:val="fontstyle21"/>
          <w:rFonts w:ascii="Arial" w:hAnsi="Arial" w:cs="Arial"/>
          <w:sz w:val="24"/>
          <w:szCs w:val="24"/>
        </w:rPr>
        <w:t>7. The filing of new guardianship applications for disabled individuals or infants who have no current guardian where it is essential for their health, safety or well-being; applications for withdrawal of funds from restricted accounts during the economic hardship caused by pandemic; uncontested wrongful death compromises and accounting procedures; and other matters that require attention shall be permitted, at the Surrogate’s discretion, as prescribed above using prior approval by the court through submission of the worksheet.</w:t>
      </w:r>
    </w:p>
    <w:p w:rsidR="006740FE" w:rsidRPr="006740FE" w:rsidRDefault="006740FE" w:rsidP="006740FE">
      <w:pPr>
        <w:jc w:val="both"/>
        <w:rPr>
          <w:rStyle w:val="fontstyle21"/>
          <w:rFonts w:ascii="Arial" w:hAnsi="Arial" w:cs="Arial"/>
          <w:sz w:val="24"/>
          <w:szCs w:val="24"/>
        </w:rPr>
      </w:pPr>
      <w:r w:rsidRPr="006740FE">
        <w:rPr>
          <w:rStyle w:val="fontstyle21"/>
          <w:rFonts w:ascii="Arial" w:hAnsi="Arial" w:cs="Arial"/>
          <w:sz w:val="24"/>
          <w:szCs w:val="24"/>
        </w:rPr>
        <w:t>8. Mail will be opened at least one day a week by a designated Court representative coming to the Central Location upon notice to and coordination with Court Security. Matters that meet the “urgent” criteria established herein will be scanned or emailed to the appropriate clerk or judge, if necessary.</w:t>
      </w:r>
    </w:p>
    <w:p w:rsidR="006740FE" w:rsidRPr="006740FE" w:rsidRDefault="006740FE" w:rsidP="006740FE">
      <w:pPr>
        <w:jc w:val="both"/>
        <w:rPr>
          <w:rStyle w:val="fontstyle21"/>
          <w:rFonts w:ascii="Arial" w:hAnsi="Arial" w:cs="Arial"/>
          <w:sz w:val="24"/>
          <w:szCs w:val="24"/>
        </w:rPr>
      </w:pPr>
      <w:r w:rsidRPr="006740FE">
        <w:rPr>
          <w:rStyle w:val="fontstyle21"/>
          <w:rFonts w:ascii="Arial" w:hAnsi="Arial" w:cs="Arial"/>
          <w:sz w:val="24"/>
          <w:szCs w:val="24"/>
        </w:rPr>
        <w:t>9. Judges may schedule one day a week, upon notice and approval of the Administrative Judge, to come into chambers for the sole purpose of accessing their papers files. This trip shall be coordinated with the authorized mail trip referenced above so as to minimize physical appearances.</w:t>
      </w:r>
    </w:p>
    <w:p w:rsidR="006740FE" w:rsidRPr="006740FE" w:rsidRDefault="006740FE" w:rsidP="006740FE">
      <w:pPr>
        <w:jc w:val="both"/>
        <w:rPr>
          <w:rFonts w:ascii="Arial" w:hAnsi="Arial" w:cs="Arial"/>
          <w:sz w:val="24"/>
          <w:szCs w:val="24"/>
        </w:rPr>
      </w:pPr>
      <w:r w:rsidRPr="006740FE">
        <w:rPr>
          <w:rStyle w:val="fontstyle21"/>
          <w:rFonts w:ascii="Arial" w:hAnsi="Arial" w:cs="Arial"/>
          <w:sz w:val="24"/>
          <w:szCs w:val="24"/>
        </w:rPr>
        <w:t>10. The Court shall collect, and report, data daily as directed by the Administrative Judge for all matters addressed remotely during this time period.</w:t>
      </w:r>
    </w:p>
    <w:sectPr w:rsidR="006740FE" w:rsidRPr="006740FE" w:rsidSect="00C4396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B6F" w:rsidRDefault="00C02B6F" w:rsidP="00C02B6F">
      <w:pPr>
        <w:spacing w:after="0" w:line="240" w:lineRule="auto"/>
      </w:pPr>
      <w:r>
        <w:separator/>
      </w:r>
    </w:p>
  </w:endnote>
  <w:endnote w:type="continuationSeparator" w:id="0">
    <w:p w:rsidR="00C02B6F" w:rsidRDefault="00C02B6F" w:rsidP="00C0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3081824"/>
      <w:docPartObj>
        <w:docPartGallery w:val="Page Numbers (Bottom of Page)"/>
        <w:docPartUnique/>
      </w:docPartObj>
    </w:sdtPr>
    <w:sdtEndPr>
      <w:rPr>
        <w:noProof/>
      </w:rPr>
    </w:sdtEndPr>
    <w:sdtContent>
      <w:p w:rsidR="00C02B6F" w:rsidRDefault="00C02B6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02B6F" w:rsidRDefault="00C02B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B6F" w:rsidRDefault="00C02B6F" w:rsidP="00C02B6F">
      <w:pPr>
        <w:spacing w:after="0" w:line="240" w:lineRule="auto"/>
      </w:pPr>
      <w:r>
        <w:separator/>
      </w:r>
    </w:p>
  </w:footnote>
  <w:footnote w:type="continuationSeparator" w:id="0">
    <w:p w:rsidR="00C02B6F" w:rsidRDefault="00C02B6F" w:rsidP="00C02B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82E29"/>
    <w:multiLevelType w:val="hybridMultilevel"/>
    <w:tmpl w:val="1B30432C"/>
    <w:lvl w:ilvl="0" w:tplc="6F2098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8702AC9"/>
    <w:multiLevelType w:val="hybridMultilevel"/>
    <w:tmpl w:val="6F104238"/>
    <w:lvl w:ilvl="0" w:tplc="4F9A5C2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8B627F9"/>
    <w:multiLevelType w:val="hybridMultilevel"/>
    <w:tmpl w:val="EFF89F08"/>
    <w:lvl w:ilvl="0" w:tplc="88386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AFE37D3"/>
    <w:multiLevelType w:val="hybridMultilevel"/>
    <w:tmpl w:val="1EEA760C"/>
    <w:lvl w:ilvl="0" w:tplc="11D2E0B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CC1C58"/>
    <w:multiLevelType w:val="hybridMultilevel"/>
    <w:tmpl w:val="949A4D64"/>
    <w:lvl w:ilvl="0" w:tplc="D1A42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3200E5"/>
    <w:multiLevelType w:val="hybridMultilevel"/>
    <w:tmpl w:val="E5D842B2"/>
    <w:lvl w:ilvl="0" w:tplc="F7C879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C12BC"/>
    <w:multiLevelType w:val="hybridMultilevel"/>
    <w:tmpl w:val="E214A816"/>
    <w:lvl w:ilvl="0" w:tplc="2D10319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426482D"/>
    <w:multiLevelType w:val="hybridMultilevel"/>
    <w:tmpl w:val="57106E8E"/>
    <w:lvl w:ilvl="0" w:tplc="14149C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39A1AF4"/>
    <w:multiLevelType w:val="hybridMultilevel"/>
    <w:tmpl w:val="0C1858CA"/>
    <w:lvl w:ilvl="0" w:tplc="2BB87BE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B512088"/>
    <w:multiLevelType w:val="hybridMultilevel"/>
    <w:tmpl w:val="781A0208"/>
    <w:lvl w:ilvl="0" w:tplc="E1809D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7266F3"/>
    <w:multiLevelType w:val="hybridMultilevel"/>
    <w:tmpl w:val="BC78DC4C"/>
    <w:lvl w:ilvl="0" w:tplc="488213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36B7B83"/>
    <w:multiLevelType w:val="hybridMultilevel"/>
    <w:tmpl w:val="39BAF8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7232727"/>
    <w:multiLevelType w:val="hybridMultilevel"/>
    <w:tmpl w:val="F27AB548"/>
    <w:lvl w:ilvl="0" w:tplc="40D6BA0C">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B14456"/>
    <w:multiLevelType w:val="hybridMultilevel"/>
    <w:tmpl w:val="B2BC7C8E"/>
    <w:lvl w:ilvl="0" w:tplc="77207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27C0787"/>
    <w:multiLevelType w:val="hybridMultilevel"/>
    <w:tmpl w:val="43E64DBE"/>
    <w:lvl w:ilvl="0" w:tplc="6192B3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756F5C"/>
    <w:multiLevelType w:val="hybridMultilevel"/>
    <w:tmpl w:val="0CB285AE"/>
    <w:lvl w:ilvl="0" w:tplc="D42ACF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14"/>
  </w:num>
  <w:num w:numId="3">
    <w:abstractNumId w:val="7"/>
  </w:num>
  <w:num w:numId="4">
    <w:abstractNumId w:val="13"/>
  </w:num>
  <w:num w:numId="5">
    <w:abstractNumId w:val="9"/>
  </w:num>
  <w:num w:numId="6">
    <w:abstractNumId w:val="10"/>
  </w:num>
  <w:num w:numId="7">
    <w:abstractNumId w:val="3"/>
  </w:num>
  <w:num w:numId="8">
    <w:abstractNumId w:val="6"/>
  </w:num>
  <w:num w:numId="9">
    <w:abstractNumId w:val="4"/>
  </w:num>
  <w:num w:numId="10">
    <w:abstractNumId w:val="1"/>
  </w:num>
  <w:num w:numId="11">
    <w:abstractNumId w:val="2"/>
  </w:num>
  <w:num w:numId="12">
    <w:abstractNumId w:val="11"/>
  </w:num>
  <w:num w:numId="13">
    <w:abstractNumId w:val="8"/>
  </w:num>
  <w:num w:numId="14">
    <w:abstractNumId w:val="12"/>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5E3"/>
    <w:rsid w:val="00022523"/>
    <w:rsid w:val="00042572"/>
    <w:rsid w:val="000723D7"/>
    <w:rsid w:val="00092E92"/>
    <w:rsid w:val="00096967"/>
    <w:rsid w:val="000A3442"/>
    <w:rsid w:val="000B41C1"/>
    <w:rsid w:val="000B51DC"/>
    <w:rsid w:val="000C27C6"/>
    <w:rsid w:val="000D1A38"/>
    <w:rsid w:val="000D4837"/>
    <w:rsid w:val="000E4110"/>
    <w:rsid w:val="001106EF"/>
    <w:rsid w:val="00185CC1"/>
    <w:rsid w:val="001903BC"/>
    <w:rsid w:val="001B307B"/>
    <w:rsid w:val="001B30BD"/>
    <w:rsid w:val="001B5FC5"/>
    <w:rsid w:val="001C0548"/>
    <w:rsid w:val="001D245F"/>
    <w:rsid w:val="00204AD4"/>
    <w:rsid w:val="0025479E"/>
    <w:rsid w:val="002A62EB"/>
    <w:rsid w:val="002B25E3"/>
    <w:rsid w:val="002D160B"/>
    <w:rsid w:val="002D4105"/>
    <w:rsid w:val="002F4C40"/>
    <w:rsid w:val="0033562A"/>
    <w:rsid w:val="00357334"/>
    <w:rsid w:val="00363348"/>
    <w:rsid w:val="003B384D"/>
    <w:rsid w:val="003C2D3A"/>
    <w:rsid w:val="003F5950"/>
    <w:rsid w:val="004062A9"/>
    <w:rsid w:val="004143A7"/>
    <w:rsid w:val="0042250A"/>
    <w:rsid w:val="00427F18"/>
    <w:rsid w:val="00430B01"/>
    <w:rsid w:val="00436846"/>
    <w:rsid w:val="004433CC"/>
    <w:rsid w:val="00452BDD"/>
    <w:rsid w:val="00454D29"/>
    <w:rsid w:val="00473ED8"/>
    <w:rsid w:val="0049733E"/>
    <w:rsid w:val="004A26A3"/>
    <w:rsid w:val="004C33A5"/>
    <w:rsid w:val="004D31EA"/>
    <w:rsid w:val="004D379E"/>
    <w:rsid w:val="004F3A65"/>
    <w:rsid w:val="00504E11"/>
    <w:rsid w:val="00514DE6"/>
    <w:rsid w:val="00515FA7"/>
    <w:rsid w:val="00520A8A"/>
    <w:rsid w:val="005705D4"/>
    <w:rsid w:val="005754F0"/>
    <w:rsid w:val="0057741B"/>
    <w:rsid w:val="005815E3"/>
    <w:rsid w:val="00592351"/>
    <w:rsid w:val="00596535"/>
    <w:rsid w:val="005A1CFB"/>
    <w:rsid w:val="005B372A"/>
    <w:rsid w:val="005C6DAB"/>
    <w:rsid w:val="005E1913"/>
    <w:rsid w:val="0060017D"/>
    <w:rsid w:val="00635D4B"/>
    <w:rsid w:val="006740FE"/>
    <w:rsid w:val="00675215"/>
    <w:rsid w:val="006A2F93"/>
    <w:rsid w:val="00707740"/>
    <w:rsid w:val="00726D9C"/>
    <w:rsid w:val="007414AB"/>
    <w:rsid w:val="00742F85"/>
    <w:rsid w:val="0074419A"/>
    <w:rsid w:val="00750260"/>
    <w:rsid w:val="00755E6F"/>
    <w:rsid w:val="007836ED"/>
    <w:rsid w:val="00783D94"/>
    <w:rsid w:val="007934A8"/>
    <w:rsid w:val="007A1E7E"/>
    <w:rsid w:val="007F3F44"/>
    <w:rsid w:val="00800040"/>
    <w:rsid w:val="008555C1"/>
    <w:rsid w:val="00872233"/>
    <w:rsid w:val="008845EA"/>
    <w:rsid w:val="008B6352"/>
    <w:rsid w:val="008B677E"/>
    <w:rsid w:val="00930E2E"/>
    <w:rsid w:val="00936055"/>
    <w:rsid w:val="0094440A"/>
    <w:rsid w:val="00955417"/>
    <w:rsid w:val="00990785"/>
    <w:rsid w:val="00992DCC"/>
    <w:rsid w:val="009B0349"/>
    <w:rsid w:val="009B4B0C"/>
    <w:rsid w:val="009B4EF8"/>
    <w:rsid w:val="009E039C"/>
    <w:rsid w:val="009F63C8"/>
    <w:rsid w:val="00A17ECD"/>
    <w:rsid w:val="00A24B1B"/>
    <w:rsid w:val="00A25E9B"/>
    <w:rsid w:val="00A36C55"/>
    <w:rsid w:val="00A372CD"/>
    <w:rsid w:val="00AB63FE"/>
    <w:rsid w:val="00AC06A4"/>
    <w:rsid w:val="00AC57F5"/>
    <w:rsid w:val="00AE09DA"/>
    <w:rsid w:val="00B124A8"/>
    <w:rsid w:val="00B17003"/>
    <w:rsid w:val="00B1738F"/>
    <w:rsid w:val="00B2740C"/>
    <w:rsid w:val="00B32B9D"/>
    <w:rsid w:val="00B32D5E"/>
    <w:rsid w:val="00B4739C"/>
    <w:rsid w:val="00B5036D"/>
    <w:rsid w:val="00B52F9A"/>
    <w:rsid w:val="00B676EA"/>
    <w:rsid w:val="00B73D2C"/>
    <w:rsid w:val="00B8229B"/>
    <w:rsid w:val="00BC11CD"/>
    <w:rsid w:val="00C02B6F"/>
    <w:rsid w:val="00C03EFD"/>
    <w:rsid w:val="00C1654B"/>
    <w:rsid w:val="00C22CC9"/>
    <w:rsid w:val="00C235C2"/>
    <w:rsid w:val="00C4396F"/>
    <w:rsid w:val="00C700D4"/>
    <w:rsid w:val="00CA65D3"/>
    <w:rsid w:val="00CA7783"/>
    <w:rsid w:val="00CB0271"/>
    <w:rsid w:val="00CB2999"/>
    <w:rsid w:val="00CC42B7"/>
    <w:rsid w:val="00CC4D32"/>
    <w:rsid w:val="00D01F8A"/>
    <w:rsid w:val="00D03368"/>
    <w:rsid w:val="00D118CF"/>
    <w:rsid w:val="00D27CA2"/>
    <w:rsid w:val="00D92324"/>
    <w:rsid w:val="00DA22A8"/>
    <w:rsid w:val="00DA2C09"/>
    <w:rsid w:val="00DB398C"/>
    <w:rsid w:val="00DE1C3E"/>
    <w:rsid w:val="00DE457D"/>
    <w:rsid w:val="00E00894"/>
    <w:rsid w:val="00E066BA"/>
    <w:rsid w:val="00E11ABC"/>
    <w:rsid w:val="00E21ED9"/>
    <w:rsid w:val="00E22402"/>
    <w:rsid w:val="00E25E6F"/>
    <w:rsid w:val="00E42EE3"/>
    <w:rsid w:val="00EB0C56"/>
    <w:rsid w:val="00ED7A83"/>
    <w:rsid w:val="00EE58C0"/>
    <w:rsid w:val="00EF4B17"/>
    <w:rsid w:val="00EF574C"/>
    <w:rsid w:val="00F17975"/>
    <w:rsid w:val="00F24C65"/>
    <w:rsid w:val="00F4693D"/>
    <w:rsid w:val="00F50749"/>
    <w:rsid w:val="00F60C4B"/>
    <w:rsid w:val="00F712F3"/>
    <w:rsid w:val="00F839FD"/>
    <w:rsid w:val="00FA33DD"/>
    <w:rsid w:val="00FC2AA8"/>
    <w:rsid w:val="00FF5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A44BBA8"/>
  <w15:chartTrackingRefBased/>
  <w15:docId w15:val="{EFF22832-154B-45FA-A221-A3E9D6E6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E9B"/>
    <w:pPr>
      <w:ind w:left="720"/>
      <w:contextualSpacing/>
    </w:pPr>
  </w:style>
  <w:style w:type="paragraph" w:styleId="Header">
    <w:name w:val="header"/>
    <w:basedOn w:val="Normal"/>
    <w:link w:val="HeaderChar"/>
    <w:uiPriority w:val="99"/>
    <w:unhideWhenUsed/>
    <w:rsid w:val="00C02B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B6F"/>
  </w:style>
  <w:style w:type="paragraph" w:styleId="Footer">
    <w:name w:val="footer"/>
    <w:basedOn w:val="Normal"/>
    <w:link w:val="FooterChar"/>
    <w:uiPriority w:val="99"/>
    <w:unhideWhenUsed/>
    <w:rsid w:val="00C02B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B6F"/>
  </w:style>
  <w:style w:type="character" w:customStyle="1" w:styleId="fontstyle01">
    <w:name w:val="fontstyle01"/>
    <w:basedOn w:val="DefaultParagraphFont"/>
    <w:rsid w:val="00A17ECD"/>
    <w:rPr>
      <w:rFonts w:ascii="Calibri-Bold" w:hAnsi="Calibri-Bold" w:hint="default"/>
      <w:b/>
      <w:bCs/>
      <w:i w:val="0"/>
      <w:iCs w:val="0"/>
      <w:color w:val="000000"/>
      <w:sz w:val="22"/>
      <w:szCs w:val="22"/>
    </w:rPr>
  </w:style>
  <w:style w:type="character" w:customStyle="1" w:styleId="fontstyle21">
    <w:name w:val="fontstyle21"/>
    <w:basedOn w:val="DefaultParagraphFont"/>
    <w:rsid w:val="00A17ECD"/>
    <w:rPr>
      <w:rFonts w:ascii="Calibri" w:hAnsi="Calibri" w:cs="Calibri"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D609C4.E83CFF8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Mills</dc:creator>
  <cp:keywords/>
  <dc:description/>
  <cp:lastModifiedBy>Porter Kirkwood</cp:lastModifiedBy>
  <cp:revision>3</cp:revision>
  <cp:lastPrinted>2020-04-24T13:05:00Z</cp:lastPrinted>
  <dcterms:created xsi:type="dcterms:W3CDTF">2020-04-24T12:06:00Z</dcterms:created>
  <dcterms:modified xsi:type="dcterms:W3CDTF">2020-04-24T13:32:00Z</dcterms:modified>
</cp:coreProperties>
</file>