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FFE4" w14:textId="77777777" w:rsidR="00AF3786" w:rsidRDefault="00AF3786" w:rsidP="00957C4C">
      <w:pPr>
        <w:rPr>
          <w:b/>
          <w:bCs/>
        </w:rPr>
      </w:pPr>
    </w:p>
    <w:p w14:paraId="692FCF3A" w14:textId="77777777" w:rsidR="00AF3786" w:rsidRDefault="00AF3786" w:rsidP="00957C4C">
      <w:pPr>
        <w:rPr>
          <w:b/>
          <w:bCs/>
        </w:rPr>
      </w:pPr>
    </w:p>
    <w:p w14:paraId="6A2DD895" w14:textId="049C0F3B" w:rsidR="006C6FA5" w:rsidRPr="000A72E8" w:rsidRDefault="009B5FC5" w:rsidP="00957C4C">
      <w:pPr>
        <w:rPr>
          <w:b/>
          <w:bCs/>
        </w:rPr>
      </w:pPr>
      <w:r w:rsidRPr="000A72E8">
        <w:rPr>
          <w:b/>
          <w:bCs/>
        </w:rPr>
        <w:fldChar w:fldCharType="begin"/>
      </w:r>
      <w:r w:rsidR="006C6FA5" w:rsidRPr="000A72E8">
        <w:rPr>
          <w:b/>
          <w:bCs/>
        </w:rPr>
        <w:instrText xml:space="preserve"> SEQ CHAPTER \h \r 1</w:instrText>
      </w:r>
      <w:r w:rsidRPr="000A72E8">
        <w:rPr>
          <w:b/>
          <w:bCs/>
        </w:rPr>
        <w:fldChar w:fldCharType="end"/>
      </w:r>
      <w:r w:rsidR="006B1CBD">
        <w:rPr>
          <w:noProof/>
        </w:rPr>
        <w:drawing>
          <wp:anchor distT="57150" distB="57150" distL="57150" distR="57150" simplePos="0" relativeHeight="251658240" behindDoc="0" locked="0" layoutInCell="0" allowOverlap="1" wp14:anchorId="51965CE2" wp14:editId="107631A8">
            <wp:simplePos x="0" y="0"/>
            <wp:positionH relativeFrom="margin">
              <wp:posOffset>-2540</wp:posOffset>
            </wp:positionH>
            <wp:positionV relativeFrom="margin">
              <wp:posOffset>-12700</wp:posOffset>
            </wp:positionV>
            <wp:extent cx="1371600" cy="1403350"/>
            <wp:effectExtent l="0" t="0" r="0" b="635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AB746" w14:textId="77777777" w:rsidR="006C6FA5" w:rsidRDefault="006C6FA5" w:rsidP="00957C4C">
      <w:pPr>
        <w:rPr>
          <w:b/>
          <w:bCs/>
        </w:rPr>
      </w:pPr>
      <w:r w:rsidRPr="000A72E8">
        <w:rPr>
          <w:b/>
          <w:bCs/>
        </w:rPr>
        <w:tab/>
      </w:r>
    </w:p>
    <w:p w14:paraId="10B5EEE5" w14:textId="77777777" w:rsidR="006C6FA5" w:rsidRDefault="006C6FA5" w:rsidP="00F6340E">
      <w:pPr>
        <w:tabs>
          <w:tab w:val="left" w:pos="720"/>
          <w:tab w:val="left" w:pos="6060"/>
        </w:tabs>
        <w:rPr>
          <w:b/>
          <w:bCs/>
        </w:rPr>
      </w:pPr>
      <w:r>
        <w:rPr>
          <w:b/>
          <w:bCs/>
        </w:rPr>
        <w:tab/>
      </w:r>
      <w:r w:rsidR="00F6340E">
        <w:rPr>
          <w:b/>
          <w:bCs/>
        </w:rPr>
        <w:tab/>
      </w:r>
      <w:r w:rsidR="00F6340E">
        <w:rPr>
          <w:b/>
          <w:bCs/>
        </w:rPr>
        <w:tab/>
      </w:r>
      <w:r w:rsidR="00F6340E">
        <w:rPr>
          <w:b/>
          <w:bCs/>
        </w:rPr>
        <w:tab/>
      </w:r>
      <w:r w:rsidR="00F6340E">
        <w:rPr>
          <w:b/>
          <w:bCs/>
        </w:rPr>
        <w:tab/>
      </w:r>
    </w:p>
    <w:p w14:paraId="2E9A8169" w14:textId="175C8FEB" w:rsidR="006C6FA5" w:rsidRPr="00E079C6" w:rsidRDefault="006B7866" w:rsidP="00957C4C">
      <w:pPr>
        <w:rPr>
          <w:rFonts w:ascii="Arial" w:hAnsi="Arial" w:cs="Arial"/>
          <w:b/>
          <w:bCs/>
        </w:rPr>
      </w:pPr>
      <w:r>
        <w:rPr>
          <w:b/>
          <w:bCs/>
        </w:rPr>
        <w:t xml:space="preserve">               </w:t>
      </w:r>
      <w:r w:rsidR="009D389F" w:rsidRPr="00E079C6">
        <w:rPr>
          <w:rFonts w:ascii="Arial" w:hAnsi="Arial" w:cs="Arial"/>
          <w:b/>
          <w:bCs/>
        </w:rPr>
        <w:tab/>
      </w:r>
      <w:r w:rsidR="009F556E" w:rsidRPr="00E079C6">
        <w:rPr>
          <w:rFonts w:ascii="Arial" w:hAnsi="Arial" w:cs="Arial"/>
          <w:b/>
          <w:bCs/>
        </w:rPr>
        <w:t xml:space="preserve">  </w:t>
      </w:r>
    </w:p>
    <w:p w14:paraId="78637827" w14:textId="77777777" w:rsidR="006C6FA5" w:rsidRPr="000C144D" w:rsidRDefault="006C6FA5" w:rsidP="00957C4C">
      <w:pPr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</w:rPr>
        <w:tab/>
      </w:r>
      <w:r w:rsidR="006B7866">
        <w:rPr>
          <w:b/>
          <w:bCs/>
        </w:rPr>
        <w:t xml:space="preserve">  </w:t>
      </w:r>
      <w:r w:rsidR="009F556E" w:rsidRPr="000C144D">
        <w:rPr>
          <w:rFonts w:ascii="Arial" w:hAnsi="Arial" w:cs="Arial"/>
          <w:b/>
          <w:bCs/>
          <w:sz w:val="36"/>
          <w:szCs w:val="36"/>
        </w:rPr>
        <w:t xml:space="preserve">NEWS </w:t>
      </w:r>
      <w:r w:rsidRPr="000C144D">
        <w:rPr>
          <w:rFonts w:ascii="Arial" w:hAnsi="Arial" w:cs="Arial"/>
          <w:b/>
          <w:bCs/>
          <w:sz w:val="36"/>
          <w:szCs w:val="36"/>
        </w:rPr>
        <w:t>ADVISORY</w:t>
      </w:r>
    </w:p>
    <w:p w14:paraId="1B05564C" w14:textId="77777777" w:rsidR="001B58F5" w:rsidRDefault="006B1CBD" w:rsidP="00957C4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5BAE8F" wp14:editId="55446416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0" cy="0"/>
                <wp:effectExtent l="9525" t="82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58F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4pt" to="0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" o:allowincell="f" strokecolor="#020000" strokeweight=".96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C08C6A" wp14:editId="64D791FA">
                <wp:simplePos x="0" y="0"/>
                <wp:positionH relativeFrom="page">
                  <wp:posOffset>2797175</wp:posOffset>
                </wp:positionH>
                <wp:positionV relativeFrom="paragraph">
                  <wp:posOffset>304800</wp:posOffset>
                </wp:positionV>
                <wp:extent cx="4060825" cy="0"/>
                <wp:effectExtent l="6350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8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2995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25pt,24pt" to="54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" o:allowincell="f" strokecolor="#020000" strokeweight=".96pt">
                <w10:wrap anchorx="page"/>
              </v:line>
            </w:pict>
          </mc:Fallback>
        </mc:AlternateContent>
      </w:r>
      <w:r w:rsidR="006C6FA5">
        <w:rPr>
          <w:b/>
          <w:bCs/>
        </w:rPr>
        <w:tab/>
      </w:r>
    </w:p>
    <w:p w14:paraId="36CC6B44" w14:textId="77777777" w:rsidR="006C6FA5" w:rsidRDefault="006C6FA5" w:rsidP="00957C4C">
      <w:pPr>
        <w:rPr>
          <w:b/>
          <w:bCs/>
        </w:rPr>
      </w:pPr>
      <w:r>
        <w:rPr>
          <w:b/>
          <w:bCs/>
        </w:rPr>
        <w:tab/>
      </w:r>
    </w:p>
    <w:p w14:paraId="5B3BD862" w14:textId="77777777" w:rsidR="006B7866" w:rsidRDefault="00F6340E" w:rsidP="00B12FDA">
      <w:pPr>
        <w:tabs>
          <w:tab w:val="left" w:pos="2310"/>
          <w:tab w:val="left" w:pos="28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1E908C9" w14:textId="77777777" w:rsidR="00F630C1" w:rsidRPr="004B41E2" w:rsidRDefault="006C6FA5" w:rsidP="00B12FDA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>New York State</w:t>
      </w:r>
      <w:r w:rsidRPr="004B41E2">
        <w:rPr>
          <w:rFonts w:ascii="Arial" w:hAnsi="Arial" w:cs="Arial"/>
          <w:sz w:val="24"/>
          <w:szCs w:val="24"/>
        </w:rPr>
        <w:tab/>
      </w:r>
      <w:r w:rsidRPr="004B41E2">
        <w:rPr>
          <w:rFonts w:ascii="Arial" w:hAnsi="Arial" w:cs="Arial"/>
          <w:sz w:val="24"/>
          <w:szCs w:val="24"/>
        </w:rPr>
        <w:tab/>
      </w:r>
      <w:r w:rsidRPr="004B41E2">
        <w:rPr>
          <w:rFonts w:ascii="Arial" w:hAnsi="Arial" w:cs="Arial"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  <w:t xml:space="preserve">Contact: </w:t>
      </w:r>
    </w:p>
    <w:p w14:paraId="0402D10D" w14:textId="77777777" w:rsidR="000C144D" w:rsidRPr="004B41E2" w:rsidRDefault="00F630C1" w:rsidP="006453F6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>Unified Court System</w:t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="00A93114" w:rsidRPr="004B41E2">
        <w:rPr>
          <w:rFonts w:ascii="Arial" w:hAnsi="Arial" w:cs="Arial"/>
          <w:b/>
          <w:bCs/>
          <w:sz w:val="24"/>
          <w:szCs w:val="24"/>
        </w:rPr>
        <w:t xml:space="preserve">Lucian Chalfen </w:t>
      </w:r>
    </w:p>
    <w:p w14:paraId="7B1AA4E1" w14:textId="77777777" w:rsidR="003C7293" w:rsidRPr="004B41E2" w:rsidRDefault="000C144D" w:rsidP="006453F6">
      <w:pPr>
        <w:tabs>
          <w:tab w:val="left" w:pos="2310"/>
          <w:tab w:val="left" w:pos="2880"/>
        </w:tabs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="00A93114" w:rsidRPr="004B41E2">
        <w:rPr>
          <w:rFonts w:ascii="Arial" w:hAnsi="Arial" w:cs="Arial"/>
          <w:b/>
          <w:bCs/>
          <w:sz w:val="24"/>
          <w:szCs w:val="24"/>
        </w:rPr>
        <w:t>Public Information Director</w:t>
      </w:r>
      <w:r w:rsidR="00147256" w:rsidRPr="004B41E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343EAE" w14:textId="77777777" w:rsidR="000C144D" w:rsidRPr="004B41E2" w:rsidRDefault="000C144D" w:rsidP="008B2075">
      <w:pPr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>Hon. Lawrence K. Marks</w:t>
      </w:r>
      <w:r w:rsidR="004B41E2" w:rsidRPr="004B41E2">
        <w:rPr>
          <w:rFonts w:ascii="Arial" w:hAnsi="Arial" w:cs="Arial"/>
          <w:b/>
          <w:bCs/>
          <w:sz w:val="24"/>
          <w:szCs w:val="24"/>
        </w:rPr>
        <w:tab/>
      </w:r>
      <w:r w:rsidR="004B41E2" w:rsidRPr="004B41E2">
        <w:rPr>
          <w:rFonts w:ascii="Arial" w:hAnsi="Arial" w:cs="Arial"/>
          <w:b/>
          <w:bCs/>
          <w:sz w:val="24"/>
          <w:szCs w:val="24"/>
        </w:rPr>
        <w:tab/>
      </w:r>
      <w:r w:rsidR="004B41E2" w:rsidRPr="004B41E2">
        <w:rPr>
          <w:rFonts w:ascii="Arial" w:hAnsi="Arial" w:cs="Arial"/>
          <w:b/>
          <w:bCs/>
          <w:sz w:val="24"/>
          <w:szCs w:val="24"/>
        </w:rPr>
        <w:tab/>
      </w:r>
      <w:r w:rsidR="004B41E2" w:rsidRPr="004B41E2">
        <w:rPr>
          <w:rFonts w:ascii="Arial" w:hAnsi="Arial" w:cs="Arial"/>
          <w:b/>
          <w:bCs/>
          <w:sz w:val="24"/>
          <w:szCs w:val="24"/>
        </w:rPr>
        <w:tab/>
        <w:t>Arlene Hackel, Deputy Director</w:t>
      </w:r>
    </w:p>
    <w:p w14:paraId="17556544" w14:textId="77777777" w:rsidR="004B41E2" w:rsidRPr="004B41E2" w:rsidRDefault="000C144D" w:rsidP="004B41E2">
      <w:pPr>
        <w:rPr>
          <w:rFonts w:ascii="Arial" w:hAnsi="Arial" w:cs="Arial"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>Chief Administrative Judge</w:t>
      </w:r>
      <w:r w:rsidR="00A93114" w:rsidRPr="004B41E2">
        <w:rPr>
          <w:rFonts w:ascii="Arial" w:hAnsi="Arial" w:cs="Arial"/>
          <w:b/>
          <w:bCs/>
          <w:sz w:val="24"/>
          <w:szCs w:val="24"/>
        </w:rPr>
        <w:tab/>
      </w:r>
      <w:r w:rsidR="00A93114" w:rsidRPr="004B41E2">
        <w:rPr>
          <w:rFonts w:ascii="Arial" w:hAnsi="Arial" w:cs="Arial"/>
          <w:b/>
          <w:bCs/>
          <w:sz w:val="24"/>
          <w:szCs w:val="24"/>
        </w:rPr>
        <w:tab/>
      </w:r>
      <w:r w:rsidR="00A93114" w:rsidRPr="004B41E2">
        <w:rPr>
          <w:rFonts w:ascii="Arial" w:hAnsi="Arial" w:cs="Arial"/>
          <w:b/>
          <w:bCs/>
          <w:sz w:val="24"/>
          <w:szCs w:val="24"/>
        </w:rPr>
        <w:tab/>
      </w:r>
      <w:r w:rsidR="004B41E2" w:rsidRPr="004B41E2">
        <w:rPr>
          <w:rFonts w:ascii="Arial" w:hAnsi="Arial" w:cs="Arial"/>
          <w:b/>
          <w:bCs/>
          <w:sz w:val="24"/>
          <w:szCs w:val="24"/>
        </w:rPr>
        <w:t>(212) 428-2500</w:t>
      </w:r>
    </w:p>
    <w:p w14:paraId="421AA331" w14:textId="77777777" w:rsidR="004B41E2" w:rsidRPr="004B41E2" w:rsidRDefault="004B41E2" w:rsidP="00D3442D">
      <w:pPr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</w:p>
    <w:p w14:paraId="12F35F34" w14:textId="77777777" w:rsidR="00A93114" w:rsidRPr="004B41E2" w:rsidRDefault="0064570A" w:rsidP="000C144D">
      <w:pPr>
        <w:ind w:left="4320" w:firstLine="720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0C144D" w:rsidRPr="004B41E2">
          <w:rPr>
            <w:rStyle w:val="Hyperlink"/>
            <w:rFonts w:ascii="Arial" w:hAnsi="Arial" w:cs="Arial"/>
            <w:b/>
            <w:bCs/>
            <w:sz w:val="24"/>
            <w:szCs w:val="24"/>
          </w:rPr>
          <w:t>www.nycourts.gov/press</w:t>
        </w:r>
      </w:hyperlink>
      <w:r w:rsidR="00A93114" w:rsidRPr="004B41E2">
        <w:rPr>
          <w:rFonts w:ascii="Arial" w:hAnsi="Arial" w:cs="Arial"/>
          <w:b/>
          <w:bCs/>
          <w:sz w:val="24"/>
          <w:szCs w:val="24"/>
        </w:rPr>
        <w:t xml:space="preserve"> </w:t>
      </w:r>
      <w:r w:rsidR="006C6FA5" w:rsidRPr="004B41E2">
        <w:rPr>
          <w:rFonts w:ascii="Arial" w:hAnsi="Arial" w:cs="Arial"/>
          <w:b/>
          <w:bCs/>
          <w:sz w:val="24"/>
          <w:szCs w:val="24"/>
        </w:rPr>
        <w:tab/>
      </w:r>
    </w:p>
    <w:p w14:paraId="1D97FD8C" w14:textId="77777777" w:rsidR="0077597B" w:rsidRPr="004B41E2" w:rsidRDefault="00A93114" w:rsidP="00D3442D">
      <w:pPr>
        <w:rPr>
          <w:rFonts w:ascii="Arial" w:hAnsi="Arial" w:cs="Arial"/>
          <w:b/>
          <w:bCs/>
          <w:sz w:val="24"/>
          <w:szCs w:val="24"/>
        </w:rPr>
      </w:pP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Pr="004B41E2">
        <w:rPr>
          <w:rFonts w:ascii="Arial" w:hAnsi="Arial" w:cs="Arial"/>
          <w:b/>
          <w:bCs/>
          <w:sz w:val="24"/>
          <w:szCs w:val="24"/>
        </w:rPr>
        <w:tab/>
      </w:r>
      <w:r w:rsidR="008F1C5B" w:rsidRPr="004B41E2">
        <w:rPr>
          <w:rFonts w:ascii="Arial" w:hAnsi="Arial" w:cs="Arial"/>
          <w:b/>
          <w:bCs/>
          <w:sz w:val="24"/>
          <w:szCs w:val="24"/>
        </w:rPr>
        <w:tab/>
      </w:r>
      <w:r w:rsidR="008F1C5B" w:rsidRPr="004B41E2">
        <w:rPr>
          <w:rFonts w:ascii="Arial" w:hAnsi="Arial" w:cs="Arial"/>
          <w:b/>
          <w:bCs/>
          <w:sz w:val="24"/>
          <w:szCs w:val="24"/>
        </w:rPr>
        <w:tab/>
      </w:r>
      <w:r w:rsidR="008F1C5B" w:rsidRPr="004B41E2">
        <w:rPr>
          <w:rFonts w:ascii="Arial" w:hAnsi="Arial" w:cs="Arial"/>
          <w:b/>
          <w:bCs/>
          <w:sz w:val="24"/>
          <w:szCs w:val="24"/>
        </w:rPr>
        <w:tab/>
      </w:r>
    </w:p>
    <w:p w14:paraId="6AE6AB6A" w14:textId="154CFD74" w:rsidR="006C6FA5" w:rsidRPr="004B41E2" w:rsidRDefault="008F1C5B" w:rsidP="0077597B">
      <w:pPr>
        <w:ind w:left="4320" w:firstLine="720"/>
        <w:rPr>
          <w:rFonts w:ascii="Arial" w:hAnsi="Arial" w:cs="Arial"/>
          <w:sz w:val="24"/>
          <w:szCs w:val="24"/>
        </w:rPr>
      </w:pPr>
      <w:r w:rsidRPr="004B41E2">
        <w:rPr>
          <w:rFonts w:ascii="Arial" w:hAnsi="Arial" w:cs="Arial"/>
          <w:b/>
          <w:sz w:val="24"/>
          <w:szCs w:val="24"/>
        </w:rPr>
        <w:t>Date:</w:t>
      </w:r>
      <w:r w:rsidR="00E760BB">
        <w:rPr>
          <w:rFonts w:ascii="Arial" w:hAnsi="Arial" w:cs="Arial"/>
          <w:b/>
          <w:sz w:val="24"/>
          <w:szCs w:val="24"/>
        </w:rPr>
        <w:t xml:space="preserve"> </w:t>
      </w:r>
      <w:r w:rsidR="0072157C">
        <w:rPr>
          <w:rFonts w:ascii="Arial" w:hAnsi="Arial" w:cs="Arial"/>
          <w:b/>
          <w:sz w:val="24"/>
          <w:szCs w:val="24"/>
        </w:rPr>
        <w:t xml:space="preserve">June </w:t>
      </w:r>
      <w:r w:rsidR="0064570A">
        <w:rPr>
          <w:rFonts w:ascii="Arial" w:hAnsi="Arial" w:cs="Arial"/>
          <w:b/>
          <w:sz w:val="24"/>
          <w:szCs w:val="24"/>
        </w:rPr>
        <w:t>29</w:t>
      </w:r>
      <w:r w:rsidR="006B34A9">
        <w:rPr>
          <w:rFonts w:ascii="Arial" w:hAnsi="Arial" w:cs="Arial"/>
          <w:b/>
          <w:sz w:val="24"/>
          <w:szCs w:val="24"/>
        </w:rPr>
        <w:t>, 2020</w:t>
      </w:r>
      <w:r w:rsidR="006C6FA5" w:rsidRPr="004B41E2">
        <w:rPr>
          <w:rFonts w:ascii="Arial" w:hAnsi="Arial" w:cs="Arial"/>
          <w:b/>
          <w:bCs/>
          <w:sz w:val="24"/>
          <w:szCs w:val="24"/>
        </w:rPr>
        <w:tab/>
      </w:r>
      <w:r w:rsidR="006C6FA5" w:rsidRPr="004B41E2">
        <w:rPr>
          <w:rFonts w:ascii="Arial" w:hAnsi="Arial" w:cs="Arial"/>
          <w:sz w:val="24"/>
          <w:szCs w:val="24"/>
        </w:rPr>
        <w:tab/>
      </w:r>
      <w:r w:rsidR="006C6FA5" w:rsidRPr="004B41E2">
        <w:rPr>
          <w:rFonts w:ascii="Arial" w:hAnsi="Arial" w:cs="Arial"/>
          <w:sz w:val="24"/>
          <w:szCs w:val="24"/>
        </w:rPr>
        <w:tab/>
      </w:r>
    </w:p>
    <w:p w14:paraId="2E4AED42" w14:textId="77777777" w:rsidR="00143AF6" w:rsidRPr="004B41E2" w:rsidRDefault="006C6FA5" w:rsidP="00D3442D">
      <w:pPr>
        <w:rPr>
          <w:rFonts w:ascii="Arial" w:hAnsi="Arial" w:cs="Arial"/>
          <w:b/>
          <w:sz w:val="24"/>
          <w:szCs w:val="24"/>
        </w:rPr>
      </w:pPr>
      <w:r w:rsidRPr="004B41E2">
        <w:rPr>
          <w:rFonts w:ascii="Arial" w:hAnsi="Arial" w:cs="Arial"/>
          <w:sz w:val="24"/>
          <w:szCs w:val="24"/>
        </w:rPr>
        <w:tab/>
      </w:r>
      <w:r w:rsidRPr="004B41E2">
        <w:rPr>
          <w:rFonts w:ascii="Arial" w:hAnsi="Arial" w:cs="Arial"/>
          <w:sz w:val="24"/>
          <w:szCs w:val="24"/>
        </w:rPr>
        <w:tab/>
      </w:r>
      <w:r w:rsidRPr="004B41E2">
        <w:rPr>
          <w:rFonts w:ascii="Arial" w:hAnsi="Arial" w:cs="Arial"/>
          <w:sz w:val="24"/>
          <w:szCs w:val="24"/>
        </w:rPr>
        <w:tab/>
      </w:r>
      <w:r w:rsidRPr="004B41E2">
        <w:rPr>
          <w:rFonts w:ascii="Arial" w:hAnsi="Arial" w:cs="Arial"/>
          <w:sz w:val="24"/>
          <w:szCs w:val="24"/>
        </w:rPr>
        <w:tab/>
      </w:r>
      <w:r w:rsidRPr="004B41E2">
        <w:rPr>
          <w:rFonts w:ascii="Arial" w:hAnsi="Arial" w:cs="Arial"/>
          <w:sz w:val="24"/>
          <w:szCs w:val="24"/>
        </w:rPr>
        <w:tab/>
      </w:r>
    </w:p>
    <w:p w14:paraId="43687CFF" w14:textId="77777777" w:rsidR="005E406D" w:rsidRDefault="005E406D" w:rsidP="0006331E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</w:p>
    <w:p w14:paraId="3A9C2E3E" w14:textId="77777777" w:rsidR="00810EDA" w:rsidRDefault="00810EDA" w:rsidP="00810EDA">
      <w:pPr>
        <w:pStyle w:val="BodyText"/>
        <w:spacing w:after="0"/>
        <w:ind w:right="104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Revised Guidelines Aim to Facilitate Swifter Provision of </w:t>
      </w:r>
    </w:p>
    <w:p w14:paraId="14A6D126" w14:textId="77777777" w:rsidR="00810EDA" w:rsidRDefault="00810EDA" w:rsidP="00810EDA">
      <w:pPr>
        <w:pStyle w:val="BodyText"/>
        <w:spacing w:after="0"/>
        <w:ind w:right="104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Appropriate Accommodations for Court Users with Special Needs  </w:t>
      </w:r>
    </w:p>
    <w:p w14:paraId="5EB2635D" w14:textId="77777777" w:rsidR="00810EDA" w:rsidRDefault="00810EDA" w:rsidP="00810EDA">
      <w:pPr>
        <w:pStyle w:val="BodyText"/>
        <w:spacing w:after="0"/>
        <w:ind w:right="10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B08676" w14:textId="77777777" w:rsidR="00924562" w:rsidRDefault="00810EDA" w:rsidP="00D0125D">
      <w:pPr>
        <w:pStyle w:val="BodyText"/>
        <w:spacing w:line="360" w:lineRule="auto"/>
        <w:ind w:right="104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>NEW YORK</w:t>
      </w:r>
      <w:r>
        <w:rPr>
          <w:rFonts w:ascii="Arial" w:hAnsi="Arial" w:cs="Arial"/>
          <w:bCs/>
        </w:rPr>
        <w:t>−</w:t>
      </w:r>
      <w:r w:rsidR="00F547A1">
        <w:rPr>
          <w:rFonts w:ascii="Arial" w:hAnsi="Arial" w:cs="Arial"/>
          <w:bCs/>
        </w:rPr>
        <w:t>As part of</w:t>
      </w:r>
      <w:r w:rsidR="00FB15DE">
        <w:rPr>
          <w:rFonts w:ascii="Arial" w:hAnsi="Arial" w:cs="Arial"/>
          <w:bCs/>
        </w:rPr>
        <w:t xml:space="preserve"> </w:t>
      </w:r>
      <w:r w:rsidR="00E079C6">
        <w:rPr>
          <w:rFonts w:ascii="Arial" w:hAnsi="Arial" w:cs="Arial"/>
          <w:bCs/>
        </w:rPr>
        <w:t>the court system’s ongoing</w:t>
      </w:r>
      <w:r w:rsidR="00FB15DE">
        <w:rPr>
          <w:rFonts w:ascii="Arial" w:hAnsi="Arial" w:cs="Arial"/>
          <w:bCs/>
        </w:rPr>
        <w:t xml:space="preserve"> effort</w:t>
      </w:r>
      <w:r w:rsidR="00E079C6">
        <w:rPr>
          <w:rFonts w:ascii="Arial" w:hAnsi="Arial" w:cs="Arial"/>
          <w:bCs/>
        </w:rPr>
        <w:t>s</w:t>
      </w:r>
      <w:r w:rsidR="00FB15DE">
        <w:rPr>
          <w:rFonts w:ascii="Arial" w:hAnsi="Arial" w:cs="Arial"/>
          <w:bCs/>
        </w:rPr>
        <w:t xml:space="preserve"> to</w:t>
      </w:r>
      <w:r>
        <w:rPr>
          <w:rFonts w:ascii="Arial" w:hAnsi="Arial" w:cs="Arial"/>
          <w:bCs/>
        </w:rPr>
        <w:t xml:space="preserve"> enhance access to justice for New Yorkers with </w:t>
      </w:r>
      <w:r w:rsidR="00FB15DE">
        <w:rPr>
          <w:rFonts w:ascii="Arial" w:hAnsi="Arial" w:cs="Arial"/>
          <w:bCs/>
        </w:rPr>
        <w:t>visual, hearing, communication, mobility, cognitive and other disabilities</w:t>
      </w:r>
      <w:r>
        <w:rPr>
          <w:rFonts w:ascii="Arial" w:hAnsi="Arial" w:cs="Arial"/>
          <w:bCs/>
        </w:rPr>
        <w:t xml:space="preserve">, Chief Administrative Judge Lawrence K. Marks </w:t>
      </w:r>
      <w:r w:rsidR="00F547A1">
        <w:rPr>
          <w:rFonts w:ascii="Arial" w:hAnsi="Arial" w:cs="Arial"/>
          <w:bCs/>
        </w:rPr>
        <w:t xml:space="preserve">has approved the implementation of </w:t>
      </w:r>
      <w:r w:rsidR="00FB15DE">
        <w:rPr>
          <w:rFonts w:ascii="Arial" w:hAnsi="Arial" w:cs="Arial"/>
          <w:bCs/>
        </w:rPr>
        <w:t>new</w:t>
      </w:r>
      <w:r>
        <w:rPr>
          <w:rFonts w:ascii="Arial" w:hAnsi="Arial" w:cs="Arial"/>
          <w:bCs/>
        </w:rPr>
        <w:t xml:space="preserve"> </w:t>
      </w:r>
      <w:r w:rsidR="003E372C">
        <w:rPr>
          <w:rFonts w:ascii="Arial" w:hAnsi="Arial" w:cs="Arial"/>
          <w:bCs/>
        </w:rPr>
        <w:t>guidelines</w:t>
      </w:r>
      <w:r>
        <w:rPr>
          <w:rFonts w:ascii="Arial" w:hAnsi="Arial" w:cs="Arial"/>
          <w:bCs/>
        </w:rPr>
        <w:t xml:space="preserve"> </w:t>
      </w:r>
      <w:r w:rsidR="00FB15DE">
        <w:rPr>
          <w:rFonts w:ascii="Arial" w:hAnsi="Arial" w:cs="Arial"/>
          <w:bCs/>
        </w:rPr>
        <w:t>to simplify the</w:t>
      </w:r>
      <w:r w:rsidR="003E372C">
        <w:rPr>
          <w:rFonts w:ascii="Arial" w:hAnsi="Arial" w:cs="Arial"/>
          <w:bCs/>
        </w:rPr>
        <w:t xml:space="preserve"> </w:t>
      </w:r>
      <w:r w:rsidR="00FB15DE">
        <w:rPr>
          <w:rFonts w:ascii="Arial" w:hAnsi="Arial" w:cs="Arial"/>
          <w:bCs/>
        </w:rPr>
        <w:t>handling of requests for</w:t>
      </w:r>
      <w:r>
        <w:rPr>
          <w:rFonts w:ascii="Arial" w:hAnsi="Arial" w:cs="Arial"/>
          <w:bCs/>
        </w:rPr>
        <w:t xml:space="preserve"> accommodations of disabilities made by parties, attorneys, witnesses and other court visitors in the New York State trial courts.</w:t>
      </w:r>
      <w:r w:rsidR="00D0125D">
        <w:rPr>
          <w:rFonts w:ascii="Arial" w:hAnsi="Arial" w:cs="Arial"/>
          <w:bCs/>
        </w:rPr>
        <w:t xml:space="preserve"> </w:t>
      </w:r>
    </w:p>
    <w:p w14:paraId="00457CF9" w14:textId="480FBA86" w:rsidR="00D0125D" w:rsidRDefault="00D0125D" w:rsidP="00D0125D">
      <w:pPr>
        <w:pStyle w:val="BodyText"/>
        <w:spacing w:line="360" w:lineRule="auto"/>
        <w:ind w:right="10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revised guidelines</w:t>
      </w:r>
      <w:r w:rsidR="00810E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developed </w:t>
      </w:r>
      <w:r w:rsidR="008F4DB7" w:rsidRPr="009F0912">
        <w:rPr>
          <w:rFonts w:ascii="Arial" w:hAnsi="Arial" w:cs="Arial"/>
          <w:bCs/>
        </w:rPr>
        <w:t>at the recommendation</w:t>
      </w:r>
      <w:r w:rsidR="008F4D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of the Advisory Committee on Access for People with Disabilities, formed in 2017 to examine and advise the Chief Judge and Chief Administrative Judge on a broad scope of issues to ensure best practices in providing access for individuals with disabilities.</w:t>
      </w:r>
    </w:p>
    <w:p w14:paraId="007B1AB4" w14:textId="4077780E" w:rsidR="00810EDA" w:rsidRDefault="00F42F1A" w:rsidP="00810EDA">
      <w:pPr>
        <w:pStyle w:val="BodyText"/>
        <w:spacing w:line="360" w:lineRule="auto"/>
        <w:ind w:right="10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guidelines, which </w:t>
      </w:r>
      <w:r w:rsidR="00D0125D">
        <w:rPr>
          <w:rFonts w:ascii="Arial" w:hAnsi="Arial" w:cs="Arial"/>
          <w:bCs/>
        </w:rPr>
        <w:t xml:space="preserve">will </w:t>
      </w:r>
      <w:r>
        <w:rPr>
          <w:rFonts w:ascii="Arial" w:hAnsi="Arial" w:cs="Arial"/>
          <w:bCs/>
        </w:rPr>
        <w:t xml:space="preserve">serve to </w:t>
      </w:r>
      <w:r w:rsidR="00FB15DE">
        <w:rPr>
          <w:rFonts w:ascii="Arial" w:hAnsi="Arial" w:cs="Arial"/>
          <w:bCs/>
        </w:rPr>
        <w:t xml:space="preserve">expedite the provision of appropriate accommodations for those with </w:t>
      </w:r>
      <w:r>
        <w:rPr>
          <w:rFonts w:ascii="Arial" w:hAnsi="Arial" w:cs="Arial"/>
          <w:bCs/>
        </w:rPr>
        <w:t>special needs</w:t>
      </w:r>
      <w:r w:rsidR="00FB15DE">
        <w:rPr>
          <w:rFonts w:ascii="Arial" w:hAnsi="Arial" w:cs="Arial"/>
          <w:bCs/>
        </w:rPr>
        <w:t>,</w:t>
      </w:r>
      <w:r w:rsidR="00D0125D">
        <w:rPr>
          <w:rFonts w:ascii="Arial" w:hAnsi="Arial" w:cs="Arial"/>
          <w:bCs/>
        </w:rPr>
        <w:t xml:space="preserve"> are summarized as follows:</w:t>
      </w:r>
      <w:r w:rsidR="00810EDA">
        <w:rPr>
          <w:rFonts w:ascii="Arial" w:hAnsi="Arial" w:cs="Arial"/>
          <w:bCs/>
        </w:rPr>
        <w:t xml:space="preserve"> </w:t>
      </w:r>
    </w:p>
    <w:p w14:paraId="70805DAE" w14:textId="33BD1FC8" w:rsidR="00586639" w:rsidRPr="00586639" w:rsidRDefault="00D0125D" w:rsidP="00641287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sz w:val="24"/>
          <w:szCs w:val="24"/>
        </w:rPr>
      </w:pPr>
      <w:r w:rsidRPr="00586639">
        <w:rPr>
          <w:rFonts w:ascii="Arial" w:hAnsi="Arial" w:cs="Arial"/>
          <w:bCs/>
          <w:sz w:val="24"/>
          <w:szCs w:val="24"/>
        </w:rPr>
        <w:t>Accommodation requests may be made orally or in writing</w:t>
      </w:r>
      <w:r w:rsidR="00D350AB">
        <w:rPr>
          <w:rFonts w:ascii="Arial" w:hAnsi="Arial" w:cs="Arial"/>
          <w:bCs/>
          <w:sz w:val="24"/>
          <w:szCs w:val="24"/>
        </w:rPr>
        <w:t>.</w:t>
      </w:r>
    </w:p>
    <w:p w14:paraId="39E0EE9C" w14:textId="7E1D77C2" w:rsidR="00586639" w:rsidRDefault="00586639" w:rsidP="00586639">
      <w:pPr>
        <w:rPr>
          <w:rFonts w:ascii="Arial" w:eastAsiaTheme="minorHAnsi" w:hAnsi="Arial" w:cs="Arial"/>
          <w:sz w:val="24"/>
          <w:szCs w:val="24"/>
        </w:rPr>
      </w:pPr>
    </w:p>
    <w:p w14:paraId="48FBCD0D" w14:textId="4FDE6246" w:rsidR="00586639" w:rsidRDefault="00586639" w:rsidP="006B7A14">
      <w:pPr>
        <w:pStyle w:val="ListParagraph"/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All accommodation requests made in advance of a court appearance in New York City </w:t>
      </w:r>
      <w:r w:rsidR="008F4DB7" w:rsidRPr="009F0912">
        <w:rPr>
          <w:rFonts w:ascii="Arial" w:eastAsiaTheme="minorHAnsi" w:hAnsi="Arial" w:cs="Arial"/>
          <w:sz w:val="24"/>
          <w:szCs w:val="24"/>
        </w:rPr>
        <w:t>should</w:t>
      </w:r>
      <w:r w:rsidR="008F4DB7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be directed to the Chief Clerk of the Court</w:t>
      </w:r>
      <w:r w:rsidR="00D350AB">
        <w:rPr>
          <w:rFonts w:ascii="Arial" w:eastAsiaTheme="minorHAnsi" w:hAnsi="Arial" w:cs="Arial"/>
          <w:sz w:val="24"/>
          <w:szCs w:val="24"/>
        </w:rPr>
        <w:t>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7EF64E66" w14:textId="77777777" w:rsidR="00586639" w:rsidRPr="00586639" w:rsidRDefault="00586639" w:rsidP="00586639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p w14:paraId="34D50738" w14:textId="216CE8CE" w:rsidR="00586639" w:rsidRDefault="00586639" w:rsidP="006B7A14">
      <w:pPr>
        <w:pStyle w:val="ListParagraph"/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All accommodation requests made in advance of a court appearance outside New York City </w:t>
      </w:r>
      <w:r w:rsidR="008F4DB7" w:rsidRPr="009F0912">
        <w:rPr>
          <w:rFonts w:ascii="Arial" w:eastAsiaTheme="minorHAnsi" w:hAnsi="Arial" w:cs="Arial"/>
          <w:sz w:val="24"/>
          <w:szCs w:val="24"/>
        </w:rPr>
        <w:t>should</w:t>
      </w:r>
      <w:r w:rsidR="008F4DB7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be directed to the District Executive</w:t>
      </w:r>
      <w:r w:rsidR="00D350AB">
        <w:rPr>
          <w:rFonts w:ascii="Arial" w:eastAsiaTheme="minorHAnsi" w:hAnsi="Arial" w:cs="Arial"/>
          <w:sz w:val="24"/>
          <w:szCs w:val="24"/>
        </w:rPr>
        <w:t>.</w:t>
      </w:r>
    </w:p>
    <w:p w14:paraId="6E729C92" w14:textId="77777777" w:rsidR="00586639" w:rsidRPr="00586639" w:rsidRDefault="00586639" w:rsidP="00586639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p w14:paraId="18D9D8E9" w14:textId="413FB8E0" w:rsidR="00586639" w:rsidRDefault="00586639" w:rsidP="00586639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The Chief Clerk/District Executive will assess whether the request involves a judicial accommodation</w:t>
      </w:r>
      <w:r w:rsidR="00D350AB">
        <w:rPr>
          <w:rFonts w:ascii="Arial" w:eastAsiaTheme="minorHAnsi" w:hAnsi="Arial" w:cs="Arial"/>
          <w:sz w:val="24"/>
          <w:szCs w:val="24"/>
        </w:rPr>
        <w:t xml:space="preserve">, </w:t>
      </w:r>
      <w:r w:rsidRPr="005D4FC6">
        <w:rPr>
          <w:rFonts w:ascii="Arial" w:eastAsiaTheme="minorHAnsi" w:hAnsi="Arial" w:cs="Arial"/>
          <w:sz w:val="24"/>
          <w:szCs w:val="24"/>
        </w:rPr>
        <w:t>such as an adjournment, additional time to submit papers, phone appearance, trial breaks etc.</w:t>
      </w:r>
      <w:r>
        <w:rPr>
          <w:rFonts w:ascii="Arial" w:eastAsiaTheme="minorHAnsi" w:hAnsi="Arial" w:cs="Arial"/>
          <w:sz w:val="24"/>
          <w:szCs w:val="24"/>
        </w:rPr>
        <w:t>; or an administrative accommodation</w:t>
      </w:r>
      <w:r w:rsidR="00D350AB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such as the provision of assistive listening devices, use of a Sign language interpreter etc</w:t>
      </w:r>
      <w:r w:rsidR="00D350AB">
        <w:rPr>
          <w:rFonts w:ascii="Arial" w:eastAsiaTheme="minorHAnsi" w:hAnsi="Arial" w:cs="Arial"/>
          <w:sz w:val="24"/>
          <w:szCs w:val="24"/>
        </w:rPr>
        <w:t>.</w:t>
      </w:r>
    </w:p>
    <w:p w14:paraId="15D2A4AE" w14:textId="77777777" w:rsidR="009B499C" w:rsidRPr="009B499C" w:rsidRDefault="009B499C" w:rsidP="009B499C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p w14:paraId="2C2EADEA" w14:textId="44A44C95" w:rsidR="009B499C" w:rsidRDefault="009B499C" w:rsidP="00F95B08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sz w:val="24"/>
          <w:szCs w:val="24"/>
        </w:rPr>
      </w:pPr>
      <w:r w:rsidRPr="009B499C">
        <w:rPr>
          <w:rFonts w:ascii="Arial" w:eastAsiaTheme="minorHAnsi" w:hAnsi="Arial" w:cs="Arial"/>
          <w:sz w:val="24"/>
          <w:szCs w:val="24"/>
        </w:rPr>
        <w:t xml:space="preserve">If the request solely concerns a judicial accommodation </w:t>
      </w:r>
      <w:r w:rsidR="00924562">
        <w:rPr>
          <w:rFonts w:ascii="Arial" w:eastAsiaTheme="minorHAnsi" w:hAnsi="Arial" w:cs="Arial"/>
          <w:sz w:val="24"/>
          <w:szCs w:val="24"/>
        </w:rPr>
        <w:t>(</w:t>
      </w:r>
      <w:r w:rsidRPr="009B499C">
        <w:rPr>
          <w:rFonts w:ascii="Arial" w:eastAsiaTheme="minorHAnsi" w:hAnsi="Arial" w:cs="Arial"/>
          <w:sz w:val="24"/>
          <w:szCs w:val="24"/>
        </w:rPr>
        <w:t>which can only be granted or denied by the judge presiding over the proceeding</w:t>
      </w:r>
      <w:r w:rsidR="00924562">
        <w:rPr>
          <w:rFonts w:ascii="Arial" w:eastAsiaTheme="minorHAnsi" w:hAnsi="Arial" w:cs="Arial"/>
          <w:sz w:val="24"/>
          <w:szCs w:val="24"/>
        </w:rPr>
        <w:t>),</w:t>
      </w:r>
      <w:r w:rsidRPr="009B499C">
        <w:rPr>
          <w:rFonts w:ascii="Arial" w:eastAsiaTheme="minorHAnsi" w:hAnsi="Arial" w:cs="Arial"/>
          <w:sz w:val="24"/>
          <w:szCs w:val="24"/>
        </w:rPr>
        <w:t xml:space="preserve"> it will be immediately forwarded to the judge’s chambers </w:t>
      </w:r>
      <w:r>
        <w:rPr>
          <w:rFonts w:ascii="Arial" w:eastAsiaTheme="minorHAnsi" w:hAnsi="Arial" w:cs="Arial"/>
          <w:sz w:val="24"/>
          <w:szCs w:val="24"/>
        </w:rPr>
        <w:t xml:space="preserve">for a determination </w:t>
      </w:r>
      <w:r w:rsidRPr="009B499C">
        <w:rPr>
          <w:rFonts w:ascii="Arial" w:eastAsiaTheme="minorHAnsi" w:hAnsi="Arial" w:cs="Arial"/>
          <w:sz w:val="24"/>
          <w:szCs w:val="24"/>
        </w:rPr>
        <w:t>and the requestor so notified</w:t>
      </w:r>
      <w:r w:rsidR="00D350AB">
        <w:rPr>
          <w:rFonts w:ascii="Arial" w:eastAsiaTheme="minorHAnsi" w:hAnsi="Arial" w:cs="Arial"/>
          <w:sz w:val="24"/>
          <w:szCs w:val="24"/>
        </w:rPr>
        <w:t>.</w:t>
      </w:r>
    </w:p>
    <w:p w14:paraId="0F03A9DE" w14:textId="77777777" w:rsidR="009B499C" w:rsidRPr="009B499C" w:rsidRDefault="009B499C" w:rsidP="009B499C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p w14:paraId="2F2DE700" w14:textId="58B60EA9" w:rsidR="009B499C" w:rsidRPr="009B499C" w:rsidRDefault="009B499C" w:rsidP="00F95B08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If the request is solely administrative in nature, it will be handled by the Chief Clerk/District Executive or a designee.</w:t>
      </w:r>
    </w:p>
    <w:p w14:paraId="1F8CC080" w14:textId="77777777" w:rsidR="00E079C6" w:rsidRPr="00E079C6" w:rsidRDefault="00E079C6" w:rsidP="00E079C6">
      <w:pPr>
        <w:spacing w:line="276" w:lineRule="auto"/>
        <w:ind w:left="360"/>
        <w:rPr>
          <w:rFonts w:ascii="Arial" w:eastAsiaTheme="minorHAnsi" w:hAnsi="Arial" w:cs="Arial"/>
          <w:sz w:val="24"/>
          <w:szCs w:val="24"/>
        </w:rPr>
      </w:pPr>
    </w:p>
    <w:p w14:paraId="108AD68F" w14:textId="491414C9" w:rsidR="005D4FC6" w:rsidRPr="007D2868" w:rsidRDefault="00D0125D" w:rsidP="00D27CE6">
      <w:pPr>
        <w:pStyle w:val="ListParagraph"/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4"/>
          <w:szCs w:val="24"/>
        </w:rPr>
      </w:pPr>
      <w:r w:rsidRPr="007D2868">
        <w:rPr>
          <w:rFonts w:ascii="Arial" w:eastAsiaTheme="minorHAnsi" w:hAnsi="Arial" w:cs="Arial"/>
          <w:sz w:val="24"/>
          <w:szCs w:val="24"/>
        </w:rPr>
        <w:t xml:space="preserve">Sometimes non-judicial personnel are the first to receive the request, while other times the request is not made until the person appears in court. </w:t>
      </w:r>
      <w:r w:rsidR="005D4FC6" w:rsidRPr="007D2868">
        <w:rPr>
          <w:rFonts w:ascii="Arial" w:eastAsiaTheme="minorHAnsi" w:hAnsi="Arial" w:cs="Arial"/>
          <w:sz w:val="24"/>
          <w:szCs w:val="24"/>
        </w:rPr>
        <w:t xml:space="preserve">Requests </w:t>
      </w:r>
      <w:r w:rsidR="009B499C" w:rsidRPr="007D2868">
        <w:rPr>
          <w:rFonts w:ascii="Arial" w:eastAsiaTheme="minorHAnsi" w:hAnsi="Arial" w:cs="Arial"/>
          <w:sz w:val="24"/>
          <w:szCs w:val="24"/>
        </w:rPr>
        <w:t>involving accommodations of an administrative nature will be referred to the Chief Clerk/District Executive</w:t>
      </w:r>
      <w:r w:rsidR="007D2868" w:rsidRPr="007D2868">
        <w:rPr>
          <w:rFonts w:ascii="Arial" w:eastAsiaTheme="minorHAnsi" w:hAnsi="Arial" w:cs="Arial"/>
          <w:sz w:val="24"/>
          <w:szCs w:val="24"/>
        </w:rPr>
        <w:t xml:space="preserve">; </w:t>
      </w:r>
      <w:r w:rsidR="007D2868">
        <w:rPr>
          <w:rFonts w:ascii="Arial" w:eastAsiaTheme="minorHAnsi" w:hAnsi="Arial" w:cs="Arial"/>
          <w:sz w:val="24"/>
          <w:szCs w:val="24"/>
        </w:rPr>
        <w:t>r</w:t>
      </w:r>
      <w:r w:rsidR="00F547A1" w:rsidRPr="007D2868">
        <w:rPr>
          <w:rFonts w:ascii="Arial" w:eastAsiaTheme="minorHAnsi" w:hAnsi="Arial" w:cs="Arial"/>
          <w:sz w:val="24"/>
          <w:szCs w:val="24"/>
        </w:rPr>
        <w:t>equests made directly to a judge for purely judicial accommodations will be determined by the presiding judge</w:t>
      </w:r>
      <w:r w:rsidR="005D4FC6" w:rsidRPr="007D2868">
        <w:rPr>
          <w:rFonts w:ascii="Arial" w:eastAsiaTheme="minorHAnsi" w:hAnsi="Arial" w:cs="Arial"/>
          <w:sz w:val="24"/>
          <w:szCs w:val="24"/>
        </w:rPr>
        <w:t xml:space="preserve"> </w:t>
      </w:r>
      <w:r w:rsidR="00F547A1" w:rsidRPr="007D2868">
        <w:rPr>
          <w:rFonts w:ascii="Arial" w:eastAsiaTheme="minorHAnsi" w:hAnsi="Arial" w:cs="Arial"/>
          <w:sz w:val="24"/>
          <w:szCs w:val="24"/>
        </w:rPr>
        <w:t>without referring it to the Chief Clerk/District Executive.</w:t>
      </w:r>
    </w:p>
    <w:p w14:paraId="0CD5665C" w14:textId="77777777" w:rsidR="005D4FC6" w:rsidRPr="005D4FC6" w:rsidRDefault="005D4FC6" w:rsidP="005D4FC6">
      <w:pPr>
        <w:spacing w:line="276" w:lineRule="auto"/>
        <w:rPr>
          <w:rFonts w:ascii="Arial" w:eastAsiaTheme="minorHAnsi" w:hAnsi="Arial" w:cs="Arial"/>
          <w:sz w:val="24"/>
          <w:szCs w:val="24"/>
        </w:rPr>
      </w:pPr>
    </w:p>
    <w:p w14:paraId="227AB3D0" w14:textId="22A9142F" w:rsidR="005D4FC6" w:rsidRDefault="005D4FC6" w:rsidP="005D4FC6">
      <w:pPr>
        <w:pStyle w:val="ListParagraph"/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4"/>
          <w:szCs w:val="24"/>
        </w:rPr>
      </w:pPr>
      <w:r w:rsidRPr="002D716C">
        <w:rPr>
          <w:rFonts w:ascii="Arial" w:eastAsiaTheme="minorHAnsi" w:hAnsi="Arial" w:cs="Arial"/>
          <w:sz w:val="24"/>
          <w:szCs w:val="24"/>
        </w:rPr>
        <w:t xml:space="preserve">Any aspect of a request made directly to </w:t>
      </w:r>
      <w:r w:rsidR="004A361C">
        <w:rPr>
          <w:rFonts w:ascii="Arial" w:eastAsiaTheme="minorHAnsi" w:hAnsi="Arial" w:cs="Arial"/>
          <w:sz w:val="24"/>
          <w:szCs w:val="24"/>
        </w:rPr>
        <w:t>a</w:t>
      </w:r>
      <w:r w:rsidRPr="002D716C">
        <w:rPr>
          <w:rFonts w:ascii="Arial" w:eastAsiaTheme="minorHAnsi" w:hAnsi="Arial" w:cs="Arial"/>
          <w:sz w:val="24"/>
          <w:szCs w:val="24"/>
        </w:rPr>
        <w:t xml:space="preserve"> judge</w:t>
      </w:r>
      <w:r w:rsidR="004A361C">
        <w:rPr>
          <w:rFonts w:ascii="Arial" w:eastAsiaTheme="minorHAnsi" w:hAnsi="Arial" w:cs="Arial"/>
          <w:sz w:val="24"/>
          <w:szCs w:val="24"/>
        </w:rPr>
        <w:t xml:space="preserve"> in New York City</w:t>
      </w:r>
      <w:r>
        <w:rPr>
          <w:rFonts w:ascii="Arial" w:eastAsiaTheme="minorHAnsi" w:hAnsi="Arial" w:cs="Arial"/>
          <w:sz w:val="24"/>
          <w:szCs w:val="24"/>
        </w:rPr>
        <w:t xml:space="preserve"> that involves</w:t>
      </w:r>
      <w:r w:rsidRPr="002D716C">
        <w:rPr>
          <w:rFonts w:ascii="Arial" w:eastAsiaTheme="minorHAnsi" w:hAnsi="Arial" w:cs="Arial"/>
          <w:sz w:val="24"/>
          <w:szCs w:val="24"/>
        </w:rPr>
        <w:t xml:space="preserve"> an administrative accommodation will be referred to the Chief Clerk</w:t>
      </w:r>
      <w:r w:rsidR="007D2868">
        <w:rPr>
          <w:rFonts w:ascii="Arial" w:eastAsiaTheme="minorHAnsi" w:hAnsi="Arial" w:cs="Arial"/>
          <w:sz w:val="24"/>
          <w:szCs w:val="24"/>
        </w:rPr>
        <w:t xml:space="preserve"> of the Court</w:t>
      </w:r>
      <w:r>
        <w:rPr>
          <w:rFonts w:ascii="Arial" w:eastAsiaTheme="minorHAnsi" w:hAnsi="Arial" w:cs="Arial"/>
          <w:sz w:val="24"/>
          <w:szCs w:val="24"/>
        </w:rPr>
        <w:t xml:space="preserve">; outside New York City, </w:t>
      </w:r>
      <w:r w:rsidR="004A361C">
        <w:rPr>
          <w:rFonts w:ascii="Arial" w:eastAsiaTheme="minorHAnsi" w:hAnsi="Arial" w:cs="Arial"/>
          <w:sz w:val="24"/>
          <w:szCs w:val="24"/>
        </w:rPr>
        <w:t>such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D0125D">
        <w:rPr>
          <w:rFonts w:ascii="Arial" w:eastAsiaTheme="minorHAnsi" w:hAnsi="Arial" w:cs="Arial"/>
          <w:sz w:val="24"/>
          <w:szCs w:val="24"/>
        </w:rPr>
        <w:t xml:space="preserve">administrative accommodation </w:t>
      </w:r>
      <w:r>
        <w:rPr>
          <w:rFonts w:ascii="Arial" w:eastAsiaTheme="minorHAnsi" w:hAnsi="Arial" w:cs="Arial"/>
          <w:sz w:val="24"/>
          <w:szCs w:val="24"/>
        </w:rPr>
        <w:t>request</w:t>
      </w:r>
      <w:r w:rsidR="004A361C">
        <w:rPr>
          <w:rFonts w:ascii="Arial" w:eastAsiaTheme="minorHAnsi" w:hAnsi="Arial" w:cs="Arial"/>
          <w:sz w:val="24"/>
          <w:szCs w:val="24"/>
        </w:rPr>
        <w:t>s</w:t>
      </w:r>
      <w:r>
        <w:rPr>
          <w:rFonts w:ascii="Arial" w:eastAsiaTheme="minorHAnsi" w:hAnsi="Arial" w:cs="Arial"/>
          <w:sz w:val="24"/>
          <w:szCs w:val="24"/>
        </w:rPr>
        <w:t xml:space="preserve"> will be forwarded </w:t>
      </w:r>
      <w:r w:rsidR="00E079C6">
        <w:rPr>
          <w:rFonts w:ascii="Arial" w:eastAsiaTheme="minorHAnsi" w:hAnsi="Arial" w:cs="Arial"/>
          <w:sz w:val="24"/>
          <w:szCs w:val="24"/>
        </w:rPr>
        <w:t xml:space="preserve">by the judge </w:t>
      </w:r>
      <w:r>
        <w:rPr>
          <w:rFonts w:ascii="Arial" w:eastAsiaTheme="minorHAnsi" w:hAnsi="Arial" w:cs="Arial"/>
          <w:sz w:val="24"/>
          <w:szCs w:val="24"/>
        </w:rPr>
        <w:t xml:space="preserve">to the </w:t>
      </w:r>
      <w:r w:rsidRPr="002D716C">
        <w:rPr>
          <w:rFonts w:ascii="Arial" w:eastAsiaTheme="minorHAnsi" w:hAnsi="Arial" w:cs="Arial"/>
          <w:sz w:val="24"/>
          <w:szCs w:val="24"/>
        </w:rPr>
        <w:t>District Executive</w:t>
      </w:r>
      <w:r>
        <w:rPr>
          <w:rFonts w:ascii="Arial" w:eastAsiaTheme="minorHAnsi" w:hAnsi="Arial" w:cs="Arial"/>
          <w:sz w:val="24"/>
          <w:szCs w:val="24"/>
        </w:rPr>
        <w:t>.</w:t>
      </w:r>
    </w:p>
    <w:p w14:paraId="638C8B2E" w14:textId="77777777" w:rsidR="005D4FC6" w:rsidRPr="005D4FC6" w:rsidRDefault="005D4FC6" w:rsidP="005D4FC6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p w14:paraId="0461D590" w14:textId="480E4687" w:rsidR="002D716C" w:rsidRDefault="002D716C" w:rsidP="004A361C">
      <w:pPr>
        <w:pStyle w:val="ListParagraph"/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Chief Clerks and District Executives must consult with the </w:t>
      </w:r>
      <w:r w:rsidR="00924562">
        <w:rPr>
          <w:rFonts w:ascii="Arial" w:eastAsiaTheme="minorHAnsi" w:hAnsi="Arial" w:cs="Arial"/>
          <w:sz w:val="24"/>
          <w:szCs w:val="24"/>
        </w:rPr>
        <w:t xml:space="preserve">courts’ </w:t>
      </w:r>
      <w:r>
        <w:rPr>
          <w:rFonts w:ascii="Arial" w:eastAsiaTheme="minorHAnsi" w:hAnsi="Arial" w:cs="Arial"/>
          <w:sz w:val="24"/>
          <w:szCs w:val="24"/>
        </w:rPr>
        <w:t xml:space="preserve">Statewide ADA Coordinator before denying an accommodation request. </w:t>
      </w:r>
      <w:r w:rsidR="00F547A1">
        <w:rPr>
          <w:rFonts w:ascii="Arial" w:eastAsiaTheme="minorHAnsi" w:hAnsi="Arial" w:cs="Arial"/>
          <w:sz w:val="24"/>
          <w:szCs w:val="24"/>
        </w:rPr>
        <w:t>If a request is denied, the Chief Clerk/District Executive must issue a written Denial of Accommodation Form and give it to the requestor, with a copy to the State ADA Coordinator. An administrative denial is subject to review, within 10 days, by the State ADA Coordinator.</w:t>
      </w:r>
    </w:p>
    <w:p w14:paraId="32019B0E" w14:textId="77777777" w:rsidR="004A361C" w:rsidRPr="004A361C" w:rsidRDefault="004A361C" w:rsidP="004A361C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p w14:paraId="0C72FA86" w14:textId="45A3F673" w:rsidR="004A361C" w:rsidRDefault="004A361C" w:rsidP="004A361C">
      <w:pPr>
        <w:spacing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Further information regarding these guidelines, along with </w:t>
      </w:r>
      <w:bookmarkStart w:id="0" w:name="_GoBack"/>
      <w:bookmarkEnd w:id="0"/>
      <w:r>
        <w:rPr>
          <w:rFonts w:ascii="Arial" w:eastAsiaTheme="minorHAnsi" w:hAnsi="Arial" w:cs="Arial"/>
          <w:sz w:val="24"/>
          <w:szCs w:val="24"/>
        </w:rPr>
        <w:t xml:space="preserve">information about the court system’s commitment to assuring access to all, is available at: </w:t>
      </w:r>
      <w:hyperlink r:id="rId7" w:history="1">
        <w:r w:rsidRPr="00782CAF">
          <w:rPr>
            <w:rStyle w:val="Hyperlink"/>
            <w:rFonts w:ascii="Arial" w:eastAsiaTheme="minorHAnsi" w:hAnsi="Arial" w:cs="Arial"/>
            <w:sz w:val="24"/>
            <w:szCs w:val="24"/>
          </w:rPr>
          <w:t>http://ww2.nycourts.gov/accessibility/index.shtml</w:t>
        </w:r>
      </w:hyperlink>
      <w:r>
        <w:rPr>
          <w:rFonts w:ascii="Arial" w:eastAsiaTheme="minorHAnsi" w:hAnsi="Arial" w:cs="Arial"/>
          <w:sz w:val="24"/>
          <w:szCs w:val="24"/>
        </w:rPr>
        <w:t>.</w:t>
      </w:r>
    </w:p>
    <w:p w14:paraId="413CB91D" w14:textId="20A358EF" w:rsidR="006D0B9A" w:rsidRPr="00AD5802" w:rsidRDefault="00AD5802" w:rsidP="00E079C6">
      <w:pPr>
        <w:spacing w:line="360" w:lineRule="auto"/>
        <w:jc w:val="center"/>
        <w:rPr>
          <w:rFonts w:ascii="Arial" w:hAnsi="Arial" w:cs="Arial"/>
        </w:rPr>
      </w:pPr>
      <w:r w:rsidRPr="00AD5802">
        <w:rPr>
          <w:rFonts w:ascii="Arial" w:hAnsi="Arial" w:cs="Arial"/>
        </w:rPr>
        <w:t>#  #  #</w:t>
      </w:r>
    </w:p>
    <w:sectPr w:rsidR="006D0B9A" w:rsidRPr="00AD5802" w:rsidSect="00D341D1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661B"/>
    <w:multiLevelType w:val="hybridMultilevel"/>
    <w:tmpl w:val="9AC4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4163"/>
    <w:multiLevelType w:val="hybridMultilevel"/>
    <w:tmpl w:val="71E0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E2EBE"/>
    <w:multiLevelType w:val="hybridMultilevel"/>
    <w:tmpl w:val="7944B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55227AA"/>
    <w:multiLevelType w:val="hybridMultilevel"/>
    <w:tmpl w:val="E144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6AB1"/>
    <w:multiLevelType w:val="hybridMultilevel"/>
    <w:tmpl w:val="BABA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4C"/>
    <w:rsid w:val="00002DC8"/>
    <w:rsid w:val="00017527"/>
    <w:rsid w:val="0002366A"/>
    <w:rsid w:val="00030ECC"/>
    <w:rsid w:val="00041CEE"/>
    <w:rsid w:val="0006331E"/>
    <w:rsid w:val="00071F90"/>
    <w:rsid w:val="000761D6"/>
    <w:rsid w:val="000807CA"/>
    <w:rsid w:val="00082275"/>
    <w:rsid w:val="00087F6F"/>
    <w:rsid w:val="000972EA"/>
    <w:rsid w:val="000A71B5"/>
    <w:rsid w:val="000A72E8"/>
    <w:rsid w:val="000B4E99"/>
    <w:rsid w:val="000B6E1D"/>
    <w:rsid w:val="000C144D"/>
    <w:rsid w:val="000E22B9"/>
    <w:rsid w:val="00104337"/>
    <w:rsid w:val="001146FF"/>
    <w:rsid w:val="00136019"/>
    <w:rsid w:val="00137720"/>
    <w:rsid w:val="00143AF6"/>
    <w:rsid w:val="00147256"/>
    <w:rsid w:val="001538B3"/>
    <w:rsid w:val="00160BDD"/>
    <w:rsid w:val="00165C97"/>
    <w:rsid w:val="0017350A"/>
    <w:rsid w:val="00174C42"/>
    <w:rsid w:val="00181D4F"/>
    <w:rsid w:val="001955C6"/>
    <w:rsid w:val="001967B2"/>
    <w:rsid w:val="001973DA"/>
    <w:rsid w:val="001A37EA"/>
    <w:rsid w:val="001A5A18"/>
    <w:rsid w:val="001B58F5"/>
    <w:rsid w:val="001B60A8"/>
    <w:rsid w:val="00204822"/>
    <w:rsid w:val="00215ABF"/>
    <w:rsid w:val="002166C9"/>
    <w:rsid w:val="00217177"/>
    <w:rsid w:val="0022706F"/>
    <w:rsid w:val="00246526"/>
    <w:rsid w:val="00265CCB"/>
    <w:rsid w:val="00267FBA"/>
    <w:rsid w:val="002B3E75"/>
    <w:rsid w:val="002B4860"/>
    <w:rsid w:val="002B6FF1"/>
    <w:rsid w:val="002D2782"/>
    <w:rsid w:val="002D542D"/>
    <w:rsid w:val="002D69CA"/>
    <w:rsid w:val="002D716C"/>
    <w:rsid w:val="002E1BEB"/>
    <w:rsid w:val="002E78CC"/>
    <w:rsid w:val="002E7900"/>
    <w:rsid w:val="002F0253"/>
    <w:rsid w:val="003116E1"/>
    <w:rsid w:val="00323F41"/>
    <w:rsid w:val="0033648B"/>
    <w:rsid w:val="00341CB0"/>
    <w:rsid w:val="00351258"/>
    <w:rsid w:val="00355D69"/>
    <w:rsid w:val="00361A48"/>
    <w:rsid w:val="003722D1"/>
    <w:rsid w:val="003742F7"/>
    <w:rsid w:val="003877A5"/>
    <w:rsid w:val="003970AC"/>
    <w:rsid w:val="003A5685"/>
    <w:rsid w:val="003B6A61"/>
    <w:rsid w:val="003C7293"/>
    <w:rsid w:val="003D2151"/>
    <w:rsid w:val="003D6FE1"/>
    <w:rsid w:val="003E372C"/>
    <w:rsid w:val="003E378D"/>
    <w:rsid w:val="004028D4"/>
    <w:rsid w:val="00412D40"/>
    <w:rsid w:val="0042257F"/>
    <w:rsid w:val="0047030F"/>
    <w:rsid w:val="00497B2A"/>
    <w:rsid w:val="004A1A80"/>
    <w:rsid w:val="004A361C"/>
    <w:rsid w:val="004B2DF2"/>
    <w:rsid w:val="004B3F63"/>
    <w:rsid w:val="004B41E2"/>
    <w:rsid w:val="004B545D"/>
    <w:rsid w:val="004D09F6"/>
    <w:rsid w:val="004D2B6C"/>
    <w:rsid w:val="004D4589"/>
    <w:rsid w:val="004E5909"/>
    <w:rsid w:val="004F1269"/>
    <w:rsid w:val="00501A7B"/>
    <w:rsid w:val="00505AE2"/>
    <w:rsid w:val="0051314D"/>
    <w:rsid w:val="0051671E"/>
    <w:rsid w:val="0052693E"/>
    <w:rsid w:val="005445FB"/>
    <w:rsid w:val="00546C3F"/>
    <w:rsid w:val="005476C4"/>
    <w:rsid w:val="00560174"/>
    <w:rsid w:val="00561FCB"/>
    <w:rsid w:val="00566F03"/>
    <w:rsid w:val="00570F4A"/>
    <w:rsid w:val="00583252"/>
    <w:rsid w:val="00586639"/>
    <w:rsid w:val="00586E46"/>
    <w:rsid w:val="005A0712"/>
    <w:rsid w:val="005A6B2A"/>
    <w:rsid w:val="005B05B9"/>
    <w:rsid w:val="005B0836"/>
    <w:rsid w:val="005B1D83"/>
    <w:rsid w:val="005B1E13"/>
    <w:rsid w:val="005B64E2"/>
    <w:rsid w:val="005C1426"/>
    <w:rsid w:val="005C1839"/>
    <w:rsid w:val="005D40A5"/>
    <w:rsid w:val="005D40FC"/>
    <w:rsid w:val="005D4FC6"/>
    <w:rsid w:val="005E1006"/>
    <w:rsid w:val="005E406D"/>
    <w:rsid w:val="005E4947"/>
    <w:rsid w:val="005F2BC4"/>
    <w:rsid w:val="005F439F"/>
    <w:rsid w:val="005F4DB2"/>
    <w:rsid w:val="00607746"/>
    <w:rsid w:val="0061233F"/>
    <w:rsid w:val="00625472"/>
    <w:rsid w:val="00627FD1"/>
    <w:rsid w:val="00630225"/>
    <w:rsid w:val="00640498"/>
    <w:rsid w:val="006453F6"/>
    <w:rsid w:val="0064570A"/>
    <w:rsid w:val="006560C0"/>
    <w:rsid w:val="006622CC"/>
    <w:rsid w:val="00663A3E"/>
    <w:rsid w:val="00693A92"/>
    <w:rsid w:val="0069758C"/>
    <w:rsid w:val="006B1CBD"/>
    <w:rsid w:val="006B34A9"/>
    <w:rsid w:val="006B7866"/>
    <w:rsid w:val="006C6FA5"/>
    <w:rsid w:val="006D0B9A"/>
    <w:rsid w:val="006D3868"/>
    <w:rsid w:val="006E10E9"/>
    <w:rsid w:val="006E2692"/>
    <w:rsid w:val="006E6018"/>
    <w:rsid w:val="006E7A9F"/>
    <w:rsid w:val="00702AF2"/>
    <w:rsid w:val="0072157C"/>
    <w:rsid w:val="007304B9"/>
    <w:rsid w:val="00733432"/>
    <w:rsid w:val="007411F1"/>
    <w:rsid w:val="0077597B"/>
    <w:rsid w:val="00775C33"/>
    <w:rsid w:val="0078200F"/>
    <w:rsid w:val="0079369A"/>
    <w:rsid w:val="007A0608"/>
    <w:rsid w:val="007B14E5"/>
    <w:rsid w:val="007B16F9"/>
    <w:rsid w:val="007B184A"/>
    <w:rsid w:val="007B243E"/>
    <w:rsid w:val="007C7DC6"/>
    <w:rsid w:val="007D1F74"/>
    <w:rsid w:val="007D2868"/>
    <w:rsid w:val="007D7F07"/>
    <w:rsid w:val="007F1E8B"/>
    <w:rsid w:val="00800255"/>
    <w:rsid w:val="00810EDA"/>
    <w:rsid w:val="0081498E"/>
    <w:rsid w:val="008231C3"/>
    <w:rsid w:val="008253DB"/>
    <w:rsid w:val="00833870"/>
    <w:rsid w:val="00837E54"/>
    <w:rsid w:val="00842300"/>
    <w:rsid w:val="00843006"/>
    <w:rsid w:val="00852D0F"/>
    <w:rsid w:val="008545EF"/>
    <w:rsid w:val="00867A20"/>
    <w:rsid w:val="008940F6"/>
    <w:rsid w:val="00896DDC"/>
    <w:rsid w:val="008A2038"/>
    <w:rsid w:val="008A4B7D"/>
    <w:rsid w:val="008B0190"/>
    <w:rsid w:val="008B2075"/>
    <w:rsid w:val="008C53C9"/>
    <w:rsid w:val="008D03BB"/>
    <w:rsid w:val="008D4DD7"/>
    <w:rsid w:val="008E1A4D"/>
    <w:rsid w:val="008F1C5B"/>
    <w:rsid w:val="008F4ACE"/>
    <w:rsid w:val="008F4DB7"/>
    <w:rsid w:val="008F5292"/>
    <w:rsid w:val="008F56C3"/>
    <w:rsid w:val="008F5AE6"/>
    <w:rsid w:val="00912374"/>
    <w:rsid w:val="009143A2"/>
    <w:rsid w:val="009232A8"/>
    <w:rsid w:val="00924562"/>
    <w:rsid w:val="00924BAE"/>
    <w:rsid w:val="00940619"/>
    <w:rsid w:val="00950F85"/>
    <w:rsid w:val="00954F9E"/>
    <w:rsid w:val="00957C4C"/>
    <w:rsid w:val="00975120"/>
    <w:rsid w:val="009819FE"/>
    <w:rsid w:val="00994A16"/>
    <w:rsid w:val="009A7257"/>
    <w:rsid w:val="009B499C"/>
    <w:rsid w:val="009B5FC5"/>
    <w:rsid w:val="009B7EB6"/>
    <w:rsid w:val="009D389F"/>
    <w:rsid w:val="009E06DE"/>
    <w:rsid w:val="009F0912"/>
    <w:rsid w:val="009F556E"/>
    <w:rsid w:val="00A13B0E"/>
    <w:rsid w:val="00A20458"/>
    <w:rsid w:val="00A33D18"/>
    <w:rsid w:val="00A37214"/>
    <w:rsid w:val="00A52F58"/>
    <w:rsid w:val="00A62E8E"/>
    <w:rsid w:val="00A719D5"/>
    <w:rsid w:val="00A76C70"/>
    <w:rsid w:val="00A85BCF"/>
    <w:rsid w:val="00A868D5"/>
    <w:rsid w:val="00A8691E"/>
    <w:rsid w:val="00A87102"/>
    <w:rsid w:val="00A93114"/>
    <w:rsid w:val="00AA06CB"/>
    <w:rsid w:val="00AB1D0D"/>
    <w:rsid w:val="00AB31B2"/>
    <w:rsid w:val="00AB7DEF"/>
    <w:rsid w:val="00AD5802"/>
    <w:rsid w:val="00AE1B0F"/>
    <w:rsid w:val="00AF3786"/>
    <w:rsid w:val="00AF621E"/>
    <w:rsid w:val="00B06AF2"/>
    <w:rsid w:val="00B078E8"/>
    <w:rsid w:val="00B10498"/>
    <w:rsid w:val="00B12A69"/>
    <w:rsid w:val="00B12FDA"/>
    <w:rsid w:val="00B177B8"/>
    <w:rsid w:val="00B20E22"/>
    <w:rsid w:val="00B21BEF"/>
    <w:rsid w:val="00B41923"/>
    <w:rsid w:val="00B5391E"/>
    <w:rsid w:val="00B82283"/>
    <w:rsid w:val="00B8430C"/>
    <w:rsid w:val="00BA59BC"/>
    <w:rsid w:val="00BB6BE0"/>
    <w:rsid w:val="00BC58CB"/>
    <w:rsid w:val="00BD0E7B"/>
    <w:rsid w:val="00BD63AC"/>
    <w:rsid w:val="00BE1893"/>
    <w:rsid w:val="00BE30EA"/>
    <w:rsid w:val="00BE3469"/>
    <w:rsid w:val="00BF1CDF"/>
    <w:rsid w:val="00BF534E"/>
    <w:rsid w:val="00BF7187"/>
    <w:rsid w:val="00C35F0B"/>
    <w:rsid w:val="00C4311D"/>
    <w:rsid w:val="00C44BB1"/>
    <w:rsid w:val="00C46179"/>
    <w:rsid w:val="00C529FC"/>
    <w:rsid w:val="00C74961"/>
    <w:rsid w:val="00C95E48"/>
    <w:rsid w:val="00CC05EC"/>
    <w:rsid w:val="00CD2A23"/>
    <w:rsid w:val="00CD499B"/>
    <w:rsid w:val="00CE7068"/>
    <w:rsid w:val="00D0125D"/>
    <w:rsid w:val="00D10ABE"/>
    <w:rsid w:val="00D147AF"/>
    <w:rsid w:val="00D241DD"/>
    <w:rsid w:val="00D32B67"/>
    <w:rsid w:val="00D341D1"/>
    <w:rsid w:val="00D3442D"/>
    <w:rsid w:val="00D346EB"/>
    <w:rsid w:val="00D350AB"/>
    <w:rsid w:val="00D36B7E"/>
    <w:rsid w:val="00D5072B"/>
    <w:rsid w:val="00D53F94"/>
    <w:rsid w:val="00D609CE"/>
    <w:rsid w:val="00D6741A"/>
    <w:rsid w:val="00D67937"/>
    <w:rsid w:val="00D76476"/>
    <w:rsid w:val="00D941C3"/>
    <w:rsid w:val="00D96908"/>
    <w:rsid w:val="00DB2861"/>
    <w:rsid w:val="00DB5F0F"/>
    <w:rsid w:val="00DB674A"/>
    <w:rsid w:val="00DD4589"/>
    <w:rsid w:val="00DE0698"/>
    <w:rsid w:val="00DE3945"/>
    <w:rsid w:val="00DE4E85"/>
    <w:rsid w:val="00DF0E77"/>
    <w:rsid w:val="00DF350C"/>
    <w:rsid w:val="00DF4613"/>
    <w:rsid w:val="00DF550E"/>
    <w:rsid w:val="00DF6CA0"/>
    <w:rsid w:val="00E079C6"/>
    <w:rsid w:val="00E13031"/>
    <w:rsid w:val="00E14525"/>
    <w:rsid w:val="00E14DFB"/>
    <w:rsid w:val="00E4051D"/>
    <w:rsid w:val="00E46FE1"/>
    <w:rsid w:val="00E5495F"/>
    <w:rsid w:val="00E55E1A"/>
    <w:rsid w:val="00E6058F"/>
    <w:rsid w:val="00E66A6D"/>
    <w:rsid w:val="00E71E62"/>
    <w:rsid w:val="00E760BB"/>
    <w:rsid w:val="00E81FA1"/>
    <w:rsid w:val="00E859EF"/>
    <w:rsid w:val="00E9392F"/>
    <w:rsid w:val="00E96E03"/>
    <w:rsid w:val="00EA0F31"/>
    <w:rsid w:val="00ED12F0"/>
    <w:rsid w:val="00EE0921"/>
    <w:rsid w:val="00EF5D4B"/>
    <w:rsid w:val="00F01F99"/>
    <w:rsid w:val="00F0275F"/>
    <w:rsid w:val="00F0299F"/>
    <w:rsid w:val="00F045EC"/>
    <w:rsid w:val="00F06B0E"/>
    <w:rsid w:val="00F1601B"/>
    <w:rsid w:val="00F236AE"/>
    <w:rsid w:val="00F2592A"/>
    <w:rsid w:val="00F26F25"/>
    <w:rsid w:val="00F3343F"/>
    <w:rsid w:val="00F42F1A"/>
    <w:rsid w:val="00F439A2"/>
    <w:rsid w:val="00F46CCF"/>
    <w:rsid w:val="00F547A1"/>
    <w:rsid w:val="00F630C1"/>
    <w:rsid w:val="00F6340E"/>
    <w:rsid w:val="00F7345C"/>
    <w:rsid w:val="00F8789B"/>
    <w:rsid w:val="00F9149E"/>
    <w:rsid w:val="00F92A3E"/>
    <w:rsid w:val="00FB15DE"/>
    <w:rsid w:val="00FC0698"/>
    <w:rsid w:val="00FC230D"/>
    <w:rsid w:val="00FC49C4"/>
    <w:rsid w:val="00FD3562"/>
    <w:rsid w:val="00FD3C4E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D1C1A"/>
  <w15:docId w15:val="{AC1E976A-C8A4-4933-98A4-7A3AA0B1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C4C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C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94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725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972EA"/>
    <w:pPr>
      <w:ind w:left="720"/>
      <w:contextualSpacing/>
    </w:pPr>
  </w:style>
  <w:style w:type="paragraph" w:customStyle="1" w:styleId="xxmsonormal">
    <w:name w:val="x_xmsonormal"/>
    <w:basedOn w:val="Normal"/>
    <w:rsid w:val="00181D4F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2157C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157C"/>
    <w:rPr>
      <w:rFonts w:eastAsiaTheme="minorHAnsi" w:cstheme="minorBidi"/>
      <w:sz w:val="22"/>
      <w:szCs w:val="21"/>
    </w:rPr>
  </w:style>
  <w:style w:type="character" w:customStyle="1" w:styleId="fontstyle01">
    <w:name w:val="fontstyle01"/>
    <w:basedOn w:val="DefaultParagraphFont"/>
    <w:rsid w:val="00030ECC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30ECC"/>
    <w:rPr>
      <w:rFonts w:ascii="MinionPro-It" w:hAnsi="MinionPro-It" w:hint="default"/>
      <w:b w:val="0"/>
      <w:bCs w:val="0"/>
      <w:i/>
      <w:iCs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qFormat/>
    <w:rsid w:val="00810EDA"/>
    <w:pPr>
      <w:autoSpaceDE/>
      <w:autoSpaceDN/>
      <w:adjustRightInd/>
      <w:spacing w:after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10E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2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2.nycourts.gov/accessibility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courts.gov/press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Unified Court System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Hackel</dc:creator>
  <cp:keywords/>
  <dc:description/>
  <cp:lastModifiedBy>Arlene Hackel</cp:lastModifiedBy>
  <cp:revision>3</cp:revision>
  <cp:lastPrinted>2020-06-23T20:20:00Z</cp:lastPrinted>
  <dcterms:created xsi:type="dcterms:W3CDTF">2020-06-25T18:12:00Z</dcterms:created>
  <dcterms:modified xsi:type="dcterms:W3CDTF">2020-06-29T18:05:00Z</dcterms:modified>
</cp:coreProperties>
</file>