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076A" w14:textId="020560FF" w:rsidR="003A3A07" w:rsidRPr="00AB08BD" w:rsidRDefault="003A3A07" w:rsidP="00BF4C8F">
      <w:pPr>
        <w:spacing w:after="0"/>
        <w:ind w:left="504" w:right="288" w:hanging="360"/>
        <w:jc w:val="right"/>
        <w:rPr>
          <w:rFonts w:ascii="Times New Roman" w:hAnsi="Times New Roman" w:cs="Times New Roman"/>
          <w:sz w:val="24"/>
          <w:szCs w:val="24"/>
        </w:rPr>
      </w:pPr>
      <w:bookmarkStart w:id="0" w:name="_GoBack"/>
      <w:bookmarkEnd w:id="0"/>
    </w:p>
    <w:p w14:paraId="7F2F1097" w14:textId="089A5824" w:rsidR="007A1F64" w:rsidRPr="00AB08BD" w:rsidRDefault="007A1F64" w:rsidP="00BF4C8F">
      <w:pPr>
        <w:spacing w:after="0"/>
        <w:ind w:left="504" w:right="288" w:hanging="360"/>
        <w:jc w:val="center"/>
        <w:rPr>
          <w:rFonts w:ascii="Times New Roman" w:hAnsi="Times New Roman" w:cs="Times New Roman"/>
          <w:b/>
          <w:bCs/>
          <w:sz w:val="36"/>
          <w:szCs w:val="36"/>
        </w:rPr>
      </w:pPr>
      <w:r w:rsidRPr="00AB08BD">
        <w:rPr>
          <w:rFonts w:ascii="Times New Roman" w:hAnsi="Times New Roman" w:cs="Times New Roman"/>
          <w:b/>
          <w:bCs/>
          <w:sz w:val="36"/>
          <w:szCs w:val="36"/>
        </w:rPr>
        <w:t>SUMMARY</w:t>
      </w:r>
    </w:p>
    <w:p w14:paraId="48AA64CC" w14:textId="3C29944A" w:rsidR="008A2A17" w:rsidRPr="00AB08BD" w:rsidRDefault="00662B66" w:rsidP="00BF4C8F">
      <w:pPr>
        <w:spacing w:after="0"/>
        <w:ind w:left="504" w:right="288" w:hanging="360"/>
        <w:jc w:val="center"/>
        <w:rPr>
          <w:rFonts w:ascii="Times New Roman" w:hAnsi="Times New Roman" w:cs="Times New Roman"/>
          <w:sz w:val="28"/>
          <w:szCs w:val="28"/>
        </w:rPr>
      </w:pPr>
      <w:r w:rsidRPr="00AB08BD">
        <w:rPr>
          <w:rFonts w:ascii="Times New Roman" w:hAnsi="Times New Roman" w:cs="Times New Roman"/>
          <w:sz w:val="28"/>
          <w:szCs w:val="28"/>
        </w:rPr>
        <w:t>6</w:t>
      </w:r>
      <w:r w:rsidR="008A2A17" w:rsidRPr="00AB08BD">
        <w:rPr>
          <w:rFonts w:ascii="Times New Roman" w:hAnsi="Times New Roman" w:cs="Times New Roman"/>
          <w:sz w:val="28"/>
          <w:szCs w:val="28"/>
          <w:vertAlign w:val="superscript"/>
        </w:rPr>
        <w:t>th</w:t>
      </w:r>
      <w:r w:rsidR="008A2A17" w:rsidRPr="00AB08BD">
        <w:rPr>
          <w:rFonts w:ascii="Times New Roman" w:hAnsi="Times New Roman" w:cs="Times New Roman"/>
          <w:sz w:val="28"/>
          <w:szCs w:val="28"/>
        </w:rPr>
        <w:t xml:space="preserve"> Judicial District</w:t>
      </w:r>
    </w:p>
    <w:p w14:paraId="47291963" w14:textId="34F5317A" w:rsidR="00AC4649" w:rsidRPr="00AB08BD" w:rsidRDefault="00AC4649" w:rsidP="00BF4C8F">
      <w:pPr>
        <w:spacing w:after="0"/>
        <w:ind w:left="720" w:right="288" w:hanging="360"/>
        <w:jc w:val="center"/>
        <w:rPr>
          <w:rFonts w:ascii="Times New Roman" w:hAnsi="Times New Roman" w:cs="Times New Roman"/>
          <w:sz w:val="28"/>
          <w:szCs w:val="28"/>
        </w:rPr>
      </w:pPr>
      <w:r w:rsidRPr="00AB08BD">
        <w:rPr>
          <w:rFonts w:ascii="Times New Roman" w:hAnsi="Times New Roman" w:cs="Times New Roman"/>
          <w:sz w:val="28"/>
          <w:szCs w:val="28"/>
        </w:rPr>
        <w:t xml:space="preserve">Phase </w:t>
      </w:r>
      <w:r w:rsidR="00187B54" w:rsidRPr="00AB08BD">
        <w:rPr>
          <w:rFonts w:ascii="Times New Roman" w:hAnsi="Times New Roman" w:cs="Times New Roman"/>
          <w:sz w:val="28"/>
          <w:szCs w:val="28"/>
        </w:rPr>
        <w:t>4.1</w:t>
      </w:r>
      <w:r w:rsidR="007A1F64" w:rsidRPr="00AB08BD">
        <w:rPr>
          <w:rFonts w:ascii="Times New Roman" w:hAnsi="Times New Roman" w:cs="Times New Roman"/>
          <w:sz w:val="28"/>
          <w:szCs w:val="28"/>
        </w:rPr>
        <w:t xml:space="preserve"> Return to In-Person Operations Plan (“RIP</w:t>
      </w:r>
      <w:r w:rsidR="00DE64F4" w:rsidRPr="00AB08BD">
        <w:rPr>
          <w:rFonts w:ascii="Times New Roman" w:hAnsi="Times New Roman" w:cs="Times New Roman"/>
          <w:sz w:val="28"/>
          <w:szCs w:val="28"/>
        </w:rPr>
        <w:t>O</w:t>
      </w:r>
      <w:r w:rsidR="007A1F64" w:rsidRPr="00AB08BD">
        <w:rPr>
          <w:rFonts w:ascii="Times New Roman" w:hAnsi="Times New Roman" w:cs="Times New Roman"/>
          <w:sz w:val="28"/>
          <w:szCs w:val="28"/>
        </w:rPr>
        <w:t>”)</w:t>
      </w:r>
    </w:p>
    <w:p w14:paraId="238D3EDD" w14:textId="5FB8BE9F" w:rsidR="00AC4649" w:rsidRPr="00AB08BD" w:rsidRDefault="000141F8" w:rsidP="00BF4C8F">
      <w:pPr>
        <w:ind w:left="720" w:right="288" w:hanging="360"/>
        <w:jc w:val="center"/>
        <w:rPr>
          <w:rFonts w:ascii="Times New Roman" w:hAnsi="Times New Roman" w:cs="Times New Roman"/>
          <w:b/>
          <w:bCs/>
          <w:sz w:val="24"/>
          <w:szCs w:val="24"/>
        </w:rPr>
      </w:pPr>
      <w:r>
        <w:rPr>
          <w:rFonts w:ascii="Times New Roman" w:hAnsi="Times New Roman" w:cs="Times New Roman"/>
          <w:b/>
          <w:bCs/>
          <w:sz w:val="24"/>
          <w:szCs w:val="24"/>
        </w:rPr>
        <w:t>Updates Effective October 19</w:t>
      </w:r>
      <w:r w:rsidR="00A41B39" w:rsidRPr="00AB08BD">
        <w:rPr>
          <w:rFonts w:ascii="Times New Roman" w:hAnsi="Times New Roman" w:cs="Times New Roman"/>
          <w:b/>
          <w:bCs/>
          <w:sz w:val="24"/>
          <w:szCs w:val="24"/>
        </w:rPr>
        <w:t>, 2020</w:t>
      </w:r>
    </w:p>
    <w:p w14:paraId="759982A4" w14:textId="5D81AEEF" w:rsidR="007A1F64" w:rsidRDefault="007A1F64" w:rsidP="009647FB">
      <w:pPr>
        <w:pStyle w:val="ListParagraph"/>
        <w:numPr>
          <w:ilvl w:val="0"/>
          <w:numId w:val="2"/>
        </w:numPr>
        <w:spacing w:line="240" w:lineRule="auto"/>
        <w:ind w:left="180" w:right="288" w:hanging="180"/>
        <w:jc w:val="both"/>
        <w:rPr>
          <w:rFonts w:ascii="Times New Roman" w:hAnsi="Times New Roman" w:cs="Times New Roman"/>
          <w:sz w:val="24"/>
          <w:szCs w:val="24"/>
        </w:rPr>
      </w:pPr>
      <w:r w:rsidRPr="00AB08BD">
        <w:rPr>
          <w:rFonts w:ascii="Times New Roman" w:hAnsi="Times New Roman" w:cs="Times New Roman"/>
          <w:sz w:val="24"/>
          <w:szCs w:val="24"/>
        </w:rPr>
        <w:t xml:space="preserve">All measures contained in the </w:t>
      </w:r>
      <w:r w:rsidR="0068341D" w:rsidRPr="00AB08BD">
        <w:rPr>
          <w:rFonts w:ascii="Times New Roman" w:hAnsi="Times New Roman" w:cs="Times New Roman"/>
          <w:sz w:val="24"/>
          <w:szCs w:val="24"/>
        </w:rPr>
        <w:t>Return to in-person opera</w:t>
      </w:r>
      <w:r w:rsidR="00DE64F4" w:rsidRPr="00AB08BD">
        <w:rPr>
          <w:rFonts w:ascii="Times New Roman" w:hAnsi="Times New Roman" w:cs="Times New Roman"/>
          <w:sz w:val="24"/>
          <w:szCs w:val="24"/>
        </w:rPr>
        <w:t>tions plan (RIPO)</w:t>
      </w:r>
      <w:r w:rsidRPr="00AB08BD">
        <w:rPr>
          <w:rFonts w:ascii="Times New Roman" w:hAnsi="Times New Roman" w:cs="Times New Roman"/>
          <w:sz w:val="24"/>
          <w:szCs w:val="24"/>
        </w:rPr>
        <w:t xml:space="preserve"> RIOP dated May 1</w:t>
      </w:r>
      <w:r w:rsidR="0043082A" w:rsidRPr="00AB08BD">
        <w:rPr>
          <w:rFonts w:ascii="Times New Roman" w:hAnsi="Times New Roman" w:cs="Times New Roman"/>
          <w:sz w:val="24"/>
          <w:szCs w:val="24"/>
        </w:rPr>
        <w:t>3</w:t>
      </w:r>
      <w:r w:rsidRPr="00AB08BD">
        <w:rPr>
          <w:rFonts w:ascii="Times New Roman" w:hAnsi="Times New Roman" w:cs="Times New Roman"/>
          <w:sz w:val="24"/>
          <w:szCs w:val="24"/>
        </w:rPr>
        <w:t xml:space="preserve">, 2020 </w:t>
      </w:r>
      <w:r w:rsidR="0043082A" w:rsidRPr="00AB08BD">
        <w:rPr>
          <w:rFonts w:ascii="Times New Roman" w:hAnsi="Times New Roman" w:cs="Times New Roman"/>
          <w:sz w:val="24"/>
          <w:szCs w:val="24"/>
        </w:rPr>
        <w:t>and subsequent Phase amendments</w:t>
      </w:r>
      <w:r w:rsidR="006643F4" w:rsidRPr="00AB08BD">
        <w:rPr>
          <w:rFonts w:ascii="Times New Roman" w:hAnsi="Times New Roman" w:cs="Times New Roman"/>
          <w:sz w:val="24"/>
          <w:szCs w:val="24"/>
        </w:rPr>
        <w:t xml:space="preserve"> </w:t>
      </w:r>
      <w:r w:rsidRPr="00AB08BD">
        <w:rPr>
          <w:rFonts w:ascii="Times New Roman" w:hAnsi="Times New Roman" w:cs="Times New Roman"/>
          <w:sz w:val="24"/>
          <w:szCs w:val="24"/>
        </w:rPr>
        <w:t>will continue and be enhanced during Phase</w:t>
      </w:r>
      <w:r w:rsidR="007A66DD" w:rsidRPr="00AB08BD">
        <w:rPr>
          <w:rFonts w:ascii="Times New Roman" w:hAnsi="Times New Roman" w:cs="Times New Roman"/>
          <w:sz w:val="24"/>
          <w:szCs w:val="24"/>
        </w:rPr>
        <w:t xml:space="preserve"> 4.1</w:t>
      </w:r>
      <w:r w:rsidRPr="00AB08BD">
        <w:rPr>
          <w:rFonts w:ascii="Times New Roman" w:hAnsi="Times New Roman" w:cs="Times New Roman"/>
          <w:sz w:val="24"/>
          <w:szCs w:val="24"/>
        </w:rPr>
        <w:t>.  All measures contained in the Memoranda of John McConnell and Nancy Barry dated February 28, 2020, March 6, 2020, May 15, 2020, May 29, 2020, June 8, 2020, and June 17, 2020 are incorporated herein.</w:t>
      </w:r>
      <w:r w:rsidR="007A66DD" w:rsidRPr="00AB08BD">
        <w:rPr>
          <w:rFonts w:ascii="Times New Roman" w:hAnsi="Times New Roman" w:cs="Times New Roman"/>
          <w:sz w:val="24"/>
          <w:szCs w:val="24"/>
        </w:rPr>
        <w:t xml:space="preserve"> Screening for court visitors and Judges/court employees shall be conducted pursuant to the June 30, 2020 and July 10, 2020 protocols.</w:t>
      </w:r>
    </w:p>
    <w:p w14:paraId="5320E947" w14:textId="77777777" w:rsidR="00BF4C8F" w:rsidRPr="00AB08BD" w:rsidRDefault="00BF4C8F" w:rsidP="00BF4C8F">
      <w:pPr>
        <w:pStyle w:val="ListParagraph"/>
        <w:spacing w:line="240" w:lineRule="auto"/>
        <w:ind w:left="180" w:right="288"/>
        <w:jc w:val="both"/>
        <w:rPr>
          <w:rFonts w:ascii="Times New Roman" w:hAnsi="Times New Roman" w:cs="Times New Roman"/>
          <w:sz w:val="24"/>
          <w:szCs w:val="24"/>
        </w:rPr>
      </w:pPr>
    </w:p>
    <w:p w14:paraId="34B30C93" w14:textId="3C940DCD" w:rsidR="00BF4C8F" w:rsidRPr="00BF4C8F" w:rsidRDefault="00AB08BD" w:rsidP="009647FB">
      <w:pPr>
        <w:pStyle w:val="ListParagraph"/>
        <w:numPr>
          <w:ilvl w:val="0"/>
          <w:numId w:val="2"/>
        </w:numPr>
        <w:spacing w:after="0"/>
        <w:ind w:left="180" w:right="288" w:hanging="180"/>
        <w:rPr>
          <w:rFonts w:ascii="Times New Roman" w:hAnsi="Times New Roman" w:cs="Times New Roman"/>
          <w:sz w:val="24"/>
          <w:szCs w:val="24"/>
        </w:rPr>
      </w:pPr>
      <w:bookmarkStart w:id="1" w:name="_Hlk43716506"/>
      <w:bookmarkStart w:id="2" w:name="_Hlk41039483"/>
      <w:r w:rsidRPr="00BF4C8F">
        <w:rPr>
          <w:rFonts w:ascii="Times New Roman" w:hAnsi="Times New Roman" w:cs="Times New Roman"/>
          <w:sz w:val="24"/>
          <w:szCs w:val="24"/>
        </w:rPr>
        <w:t>P</w:t>
      </w:r>
      <w:r w:rsidR="00970976">
        <w:rPr>
          <w:rFonts w:ascii="Times New Roman" w:hAnsi="Times New Roman" w:cs="Times New Roman"/>
          <w:sz w:val="24"/>
          <w:szCs w:val="24"/>
        </w:rPr>
        <w:t>resumptions</w:t>
      </w:r>
    </w:p>
    <w:p w14:paraId="3FBC4515" w14:textId="77777777" w:rsidR="00BF4C8F" w:rsidRPr="00AB08BD" w:rsidRDefault="00BF4C8F" w:rsidP="00BF4C8F">
      <w:pPr>
        <w:pStyle w:val="ListParagraph"/>
        <w:spacing w:after="0"/>
        <w:ind w:left="180" w:right="288"/>
        <w:rPr>
          <w:rFonts w:ascii="Times New Roman" w:hAnsi="Times New Roman" w:cs="Times New Roman"/>
          <w:sz w:val="24"/>
          <w:szCs w:val="24"/>
        </w:rPr>
      </w:pPr>
    </w:p>
    <w:p w14:paraId="473BA70F" w14:textId="77777777" w:rsidR="00AB08BD" w:rsidRPr="00AB08BD" w:rsidRDefault="00AB08BD" w:rsidP="009647FB">
      <w:pPr>
        <w:pStyle w:val="ListParagraph"/>
        <w:numPr>
          <w:ilvl w:val="1"/>
          <w:numId w:val="5"/>
        </w:numPr>
        <w:spacing w:after="0"/>
        <w:ind w:left="540" w:right="288"/>
        <w:rPr>
          <w:rFonts w:ascii="Times New Roman" w:hAnsi="Times New Roman" w:cs="Times New Roman"/>
          <w:sz w:val="24"/>
          <w:szCs w:val="24"/>
        </w:rPr>
      </w:pPr>
      <w:r w:rsidRPr="00AB08BD">
        <w:rPr>
          <w:rFonts w:ascii="Times New Roman" w:hAnsi="Times New Roman" w:cs="Times New Roman"/>
          <w:sz w:val="24"/>
          <w:szCs w:val="24"/>
        </w:rPr>
        <w:t>Incarcerated Individuals - Notwithstanding any other provision herein, where an in- person proceeding involves an incarcerated individual, that individual shall appear virtually utilizing electronic means unless the presiding judge orders otherwise.</w:t>
      </w:r>
    </w:p>
    <w:p w14:paraId="5684D692" w14:textId="77777777" w:rsidR="00AB08BD" w:rsidRPr="00AB08BD" w:rsidRDefault="00AB08BD" w:rsidP="009647FB">
      <w:pPr>
        <w:pStyle w:val="ListParagraph"/>
        <w:numPr>
          <w:ilvl w:val="1"/>
          <w:numId w:val="5"/>
        </w:numPr>
        <w:spacing w:after="0"/>
        <w:ind w:left="540" w:right="288"/>
        <w:rPr>
          <w:rFonts w:ascii="Times New Roman" w:hAnsi="Times New Roman" w:cs="Times New Roman"/>
          <w:sz w:val="24"/>
          <w:szCs w:val="24"/>
        </w:rPr>
      </w:pPr>
      <w:r w:rsidRPr="00AB08BD">
        <w:rPr>
          <w:rFonts w:ascii="Times New Roman" w:hAnsi="Times New Roman" w:cs="Times New Roman"/>
          <w:sz w:val="24"/>
          <w:szCs w:val="24"/>
        </w:rPr>
        <w:t xml:space="preserve">Notwithstanding the presumptions as stated below, virtual appearances shall be utilized to the greatest extent possible where a virtual appearance is legally permissible and logistically possible. </w:t>
      </w:r>
    </w:p>
    <w:p w14:paraId="41287D00" w14:textId="0D893BC6" w:rsidR="00AB08BD" w:rsidRDefault="00AB08BD" w:rsidP="009647FB">
      <w:pPr>
        <w:pStyle w:val="ListParagraph"/>
        <w:numPr>
          <w:ilvl w:val="1"/>
          <w:numId w:val="5"/>
        </w:numPr>
        <w:spacing w:after="0"/>
        <w:ind w:left="540" w:right="288"/>
        <w:rPr>
          <w:rFonts w:ascii="Times New Roman" w:hAnsi="Times New Roman" w:cs="Times New Roman"/>
          <w:sz w:val="24"/>
          <w:szCs w:val="24"/>
        </w:rPr>
      </w:pPr>
      <w:r w:rsidRPr="00AB08BD">
        <w:rPr>
          <w:rFonts w:ascii="Times New Roman" w:hAnsi="Times New Roman" w:cs="Times New Roman"/>
          <w:sz w:val="24"/>
          <w:szCs w:val="24"/>
        </w:rPr>
        <w:t>Matters that shall presumptively be heard in-person - a Judge may deviate from the presumptions that a matter be heard in-person on their own initiative or based upon a request from a party or attorney.</w:t>
      </w:r>
    </w:p>
    <w:p w14:paraId="64C6D79F" w14:textId="77777777" w:rsidR="00BF4C8F" w:rsidRPr="00AB08BD" w:rsidRDefault="00BF4C8F" w:rsidP="00BF4C8F">
      <w:pPr>
        <w:pStyle w:val="ListParagraph"/>
        <w:spacing w:after="0"/>
        <w:ind w:left="540" w:right="288"/>
        <w:rPr>
          <w:rFonts w:ascii="Times New Roman" w:hAnsi="Times New Roman" w:cs="Times New Roman"/>
          <w:sz w:val="24"/>
          <w:szCs w:val="24"/>
        </w:rPr>
      </w:pPr>
    </w:p>
    <w:p w14:paraId="49503A4C" w14:textId="77777777" w:rsidR="00AB08BD" w:rsidRPr="00AB08BD" w:rsidRDefault="00AB08BD" w:rsidP="009647FB">
      <w:pPr>
        <w:pStyle w:val="ListParagraph"/>
        <w:numPr>
          <w:ilvl w:val="2"/>
          <w:numId w:val="5"/>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Superior Civil</w:t>
      </w:r>
    </w:p>
    <w:p w14:paraId="25D95286"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Trials</w:t>
      </w:r>
    </w:p>
    <w:p w14:paraId="1D3F9B26"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Evidentiary hearings and inquests</w:t>
      </w:r>
    </w:p>
    <w:p w14:paraId="2C2FCAAF" w14:textId="30A426E9" w:rsid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appearances and conferences where at least one party is self-represented</w:t>
      </w:r>
    </w:p>
    <w:p w14:paraId="247595A2" w14:textId="77777777" w:rsidR="00BF4C8F" w:rsidRPr="00AB08BD" w:rsidRDefault="00BF4C8F" w:rsidP="00BF4C8F">
      <w:pPr>
        <w:pStyle w:val="ListParagraph"/>
        <w:tabs>
          <w:tab w:val="left" w:pos="2970"/>
        </w:tabs>
        <w:spacing w:after="0"/>
        <w:ind w:left="1260" w:right="288"/>
        <w:rPr>
          <w:rFonts w:ascii="Times New Roman" w:hAnsi="Times New Roman" w:cs="Times New Roman"/>
          <w:sz w:val="24"/>
          <w:szCs w:val="24"/>
        </w:rPr>
      </w:pPr>
    </w:p>
    <w:p w14:paraId="407F7929" w14:textId="77777777" w:rsidR="00AB08BD" w:rsidRPr="00AB08BD" w:rsidRDefault="00AB08BD" w:rsidP="009647FB">
      <w:pPr>
        <w:pStyle w:val="ListParagraph"/>
        <w:numPr>
          <w:ilvl w:val="6"/>
          <w:numId w:val="5"/>
        </w:numPr>
        <w:tabs>
          <w:tab w:val="left" w:pos="2970"/>
        </w:tabs>
        <w:spacing w:after="0"/>
        <w:ind w:left="900" w:right="288"/>
        <w:rPr>
          <w:rFonts w:ascii="Times New Roman" w:hAnsi="Times New Roman" w:cs="Times New Roman"/>
          <w:sz w:val="24"/>
          <w:szCs w:val="24"/>
        </w:rPr>
      </w:pPr>
      <w:r w:rsidRPr="00AB08BD">
        <w:rPr>
          <w:rFonts w:ascii="Times New Roman" w:hAnsi="Times New Roman" w:cs="Times New Roman"/>
          <w:sz w:val="24"/>
          <w:szCs w:val="24"/>
        </w:rPr>
        <w:t>Superior Criminal (Incarcerated Defendants shall appear virtually, unless otherwise ordered)</w:t>
      </w:r>
    </w:p>
    <w:p w14:paraId="7557EEB6"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Trials</w:t>
      </w:r>
    </w:p>
    <w:p w14:paraId="496DADA2"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Evidentiary hearings</w:t>
      </w:r>
    </w:p>
    <w:p w14:paraId="0FAB00E3"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Non-custodial arraignments</w:t>
      </w:r>
    </w:p>
    <w:p w14:paraId="2E4DC08F"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Waivers of Indictment, Pleas and Sentences for defendants at liberty</w:t>
      </w:r>
    </w:p>
    <w:p w14:paraId="77E0FB59"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Motion argument</w:t>
      </w:r>
    </w:p>
    <w:p w14:paraId="0D177787"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Treatment court and Judicial Diversion where the Judge determines that an appearance is necessary to protect the health and safety of a defendant</w:t>
      </w:r>
    </w:p>
    <w:p w14:paraId="585122A0"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Instances where the defendant cannot be located or communicated with</w:t>
      </w:r>
    </w:p>
    <w:p w14:paraId="3BAA30E3" w14:textId="4DFA2B49" w:rsid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Grand Jury proceedings</w:t>
      </w:r>
    </w:p>
    <w:p w14:paraId="115B7BA5" w14:textId="77777777" w:rsidR="00BF4C8F" w:rsidRPr="00AB08BD" w:rsidRDefault="00BF4C8F" w:rsidP="00BF4C8F">
      <w:pPr>
        <w:pStyle w:val="ListParagraph"/>
        <w:tabs>
          <w:tab w:val="left" w:pos="2970"/>
        </w:tabs>
        <w:spacing w:after="0"/>
        <w:ind w:left="1260" w:right="288"/>
        <w:rPr>
          <w:rFonts w:ascii="Times New Roman" w:hAnsi="Times New Roman" w:cs="Times New Roman"/>
          <w:sz w:val="24"/>
          <w:szCs w:val="24"/>
        </w:rPr>
      </w:pPr>
    </w:p>
    <w:p w14:paraId="0B22495D" w14:textId="77777777" w:rsidR="00AB08BD" w:rsidRPr="00AB08BD" w:rsidRDefault="00AB08BD" w:rsidP="009647FB">
      <w:pPr>
        <w:pStyle w:val="ListParagraph"/>
        <w:numPr>
          <w:ilvl w:val="6"/>
          <w:numId w:val="5"/>
        </w:numPr>
        <w:tabs>
          <w:tab w:val="left" w:pos="2970"/>
        </w:tabs>
        <w:spacing w:after="0"/>
        <w:ind w:left="900" w:right="288"/>
        <w:rPr>
          <w:rFonts w:ascii="Times New Roman" w:hAnsi="Times New Roman" w:cs="Times New Roman"/>
          <w:sz w:val="24"/>
          <w:szCs w:val="24"/>
        </w:rPr>
      </w:pPr>
      <w:r w:rsidRPr="00AB08BD">
        <w:rPr>
          <w:rFonts w:ascii="Times New Roman" w:hAnsi="Times New Roman" w:cs="Times New Roman"/>
          <w:sz w:val="24"/>
          <w:szCs w:val="24"/>
        </w:rPr>
        <w:t>Family Court</w:t>
      </w:r>
    </w:p>
    <w:p w14:paraId="3D65208B"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evidentiary hearings (priority given to matters filed first)</w:t>
      </w:r>
    </w:p>
    <w:p w14:paraId="6B9E5154"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Child Support proceedings</w:t>
      </w:r>
    </w:p>
    <w:p w14:paraId="33A305BE" w14:textId="77777777" w:rsidR="00AB08BD" w:rsidRP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Permanency Hearings</w:t>
      </w:r>
    </w:p>
    <w:p w14:paraId="1020182D" w14:textId="7DA32089" w:rsidR="00AB08BD" w:rsidRDefault="00AB08BD" w:rsidP="009647FB">
      <w:pPr>
        <w:pStyle w:val="ListParagraph"/>
        <w:numPr>
          <w:ilvl w:val="7"/>
          <w:numId w:val="5"/>
        </w:numPr>
        <w:tabs>
          <w:tab w:val="left" w:pos="2970"/>
        </w:tabs>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Article 10 Consents, Admissions and Surrenders</w:t>
      </w:r>
    </w:p>
    <w:p w14:paraId="76241F6D" w14:textId="77777777" w:rsidR="00BF4C8F" w:rsidRPr="00AB08BD" w:rsidRDefault="00BF4C8F" w:rsidP="00BF4C8F">
      <w:pPr>
        <w:pStyle w:val="ListParagraph"/>
        <w:tabs>
          <w:tab w:val="left" w:pos="2970"/>
        </w:tabs>
        <w:spacing w:after="0"/>
        <w:ind w:left="1260" w:right="288"/>
        <w:rPr>
          <w:rFonts w:ascii="Times New Roman" w:hAnsi="Times New Roman" w:cs="Times New Roman"/>
          <w:sz w:val="24"/>
          <w:szCs w:val="24"/>
        </w:rPr>
      </w:pPr>
    </w:p>
    <w:p w14:paraId="3A4C3B22" w14:textId="77777777" w:rsidR="00AB08BD" w:rsidRPr="00AB08BD" w:rsidRDefault="00AB08BD" w:rsidP="009647FB">
      <w:pPr>
        <w:pStyle w:val="ListParagraph"/>
        <w:numPr>
          <w:ilvl w:val="6"/>
          <w:numId w:val="5"/>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Surrogates’ Court</w:t>
      </w:r>
    </w:p>
    <w:p w14:paraId="19855774"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Citations and Show Cause orders</w:t>
      </w:r>
    </w:p>
    <w:p w14:paraId="2B78B749"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Bench trials</w:t>
      </w:r>
    </w:p>
    <w:p w14:paraId="511C438F"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Evidentiary hearings</w:t>
      </w:r>
    </w:p>
    <w:p w14:paraId="4458AF33" w14:textId="62D69BF2" w:rsid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appearances and conferences where at least one party is self-represented</w:t>
      </w:r>
    </w:p>
    <w:p w14:paraId="5E297CC9"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194600BC" w14:textId="77777777" w:rsidR="00AB08BD" w:rsidRPr="00AB08BD" w:rsidRDefault="00AB08BD" w:rsidP="009647FB">
      <w:pPr>
        <w:pStyle w:val="ListParagraph"/>
        <w:numPr>
          <w:ilvl w:val="6"/>
          <w:numId w:val="5"/>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City Court Civil</w:t>
      </w:r>
    </w:p>
    <w:p w14:paraId="2D96F188"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Bench trials</w:t>
      </w:r>
    </w:p>
    <w:p w14:paraId="12BCC1F4"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Evidentiary hearings</w:t>
      </w:r>
    </w:p>
    <w:p w14:paraId="6E69756B" w14:textId="78A51E1B" w:rsid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Small claims matters, including the small claims arbitration program, for matters</w:t>
      </w:r>
    </w:p>
    <w:p w14:paraId="7180F202"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5ECA8A85" w14:textId="77777777" w:rsidR="00AB08BD" w:rsidRPr="00AB08BD" w:rsidRDefault="00AB08BD" w:rsidP="009647FB">
      <w:pPr>
        <w:pStyle w:val="ListParagraph"/>
        <w:numPr>
          <w:ilvl w:val="6"/>
          <w:numId w:val="5"/>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City Court Criminal</w:t>
      </w:r>
    </w:p>
    <w:p w14:paraId="1B310BE0"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Bench trials</w:t>
      </w:r>
    </w:p>
    <w:p w14:paraId="43A15802"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Preliminary Hearings</w:t>
      </w:r>
    </w:p>
    <w:p w14:paraId="1FBA1115"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Evidentiary hearings</w:t>
      </w:r>
    </w:p>
    <w:p w14:paraId="402E09A0"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 xml:space="preserve">Appearance Ticket arraignments for Appearance </w:t>
      </w:r>
    </w:p>
    <w:p w14:paraId="41342567"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Vehicle &amp; Traffic Appearances</w:t>
      </w:r>
    </w:p>
    <w:p w14:paraId="088BB7F0"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Pleas and Sentences for defendants at liberty</w:t>
      </w:r>
    </w:p>
    <w:p w14:paraId="731C2BA8"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Motion arguments</w:t>
      </w:r>
    </w:p>
    <w:p w14:paraId="1AC3B216" w14:textId="77777777" w:rsidR="00AB08BD" w:rsidRP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Arraignments of defendants accused of a violation of any provision of Article 31 of the Vehicle and Traffic Law (VTL 1190 et seq.)</w:t>
      </w:r>
    </w:p>
    <w:p w14:paraId="6093B8C0" w14:textId="7AD12ED5" w:rsidR="00AB08BD" w:rsidRDefault="00AB08BD" w:rsidP="009647FB">
      <w:pPr>
        <w:pStyle w:val="ListParagraph"/>
        <w:numPr>
          <w:ilvl w:val="7"/>
          <w:numId w:val="5"/>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Treatment court where the Judge determines that an appearance is necessary to protect the health and safety of a defendant.</w:t>
      </w:r>
    </w:p>
    <w:p w14:paraId="45FEA82D"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276EB21D" w14:textId="77777777" w:rsidR="00BF4C8F" w:rsidRDefault="00AB08BD" w:rsidP="009647FB">
      <w:pPr>
        <w:pStyle w:val="ListParagraph"/>
        <w:numPr>
          <w:ilvl w:val="1"/>
          <w:numId w:val="5"/>
        </w:numPr>
        <w:spacing w:after="0"/>
        <w:ind w:left="540" w:right="288"/>
        <w:rPr>
          <w:rFonts w:ascii="Times New Roman" w:hAnsi="Times New Roman" w:cs="Times New Roman"/>
          <w:sz w:val="24"/>
          <w:szCs w:val="24"/>
        </w:rPr>
      </w:pPr>
      <w:r w:rsidRPr="00AB08BD">
        <w:rPr>
          <w:rFonts w:ascii="Times New Roman" w:hAnsi="Times New Roman" w:cs="Times New Roman"/>
          <w:sz w:val="24"/>
          <w:szCs w:val="24"/>
        </w:rPr>
        <w:t>Matters that shall presumptively be heard virtually - a Judge may deviate from the presumptions that a matter be heard virtually for compelling reasons on their own initiative or based upon a request from a party or attorney.  If a request to appear in-person is granted, the Administrative Judge shall be notified.</w:t>
      </w:r>
    </w:p>
    <w:p w14:paraId="1E2397E3" w14:textId="5586977E" w:rsidR="00AB08BD" w:rsidRPr="00AB08BD" w:rsidRDefault="00AB08BD" w:rsidP="00BF4C8F">
      <w:pPr>
        <w:pStyle w:val="ListParagraph"/>
        <w:spacing w:after="0"/>
        <w:ind w:left="540" w:right="288"/>
        <w:rPr>
          <w:rFonts w:ascii="Times New Roman" w:hAnsi="Times New Roman" w:cs="Times New Roman"/>
          <w:sz w:val="24"/>
          <w:szCs w:val="24"/>
        </w:rPr>
      </w:pPr>
      <w:r w:rsidRPr="00AB08BD">
        <w:rPr>
          <w:rFonts w:ascii="Times New Roman" w:hAnsi="Times New Roman" w:cs="Times New Roman"/>
          <w:sz w:val="24"/>
          <w:szCs w:val="24"/>
        </w:rPr>
        <w:t xml:space="preserve">  </w:t>
      </w:r>
    </w:p>
    <w:p w14:paraId="568695C9" w14:textId="5CB3C73E" w:rsidR="00AB08BD" w:rsidRDefault="00AB08BD" w:rsidP="009647FB">
      <w:pPr>
        <w:pStyle w:val="ListParagraph"/>
        <w:numPr>
          <w:ilvl w:val="2"/>
          <w:numId w:val="5"/>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Superior Civil</w:t>
      </w:r>
    </w:p>
    <w:p w14:paraId="042D3450" w14:textId="77777777" w:rsidR="00AB08BD" w:rsidRPr="00AB08BD" w:rsidRDefault="00AB08BD" w:rsidP="009647FB">
      <w:pPr>
        <w:pStyle w:val="ListParagraph"/>
        <w:numPr>
          <w:ilvl w:val="7"/>
          <w:numId w:val="6"/>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conferences, including foreclosures, where all parties are represented by counsel</w:t>
      </w:r>
    </w:p>
    <w:p w14:paraId="553C90F1" w14:textId="77777777" w:rsidR="00AB08BD" w:rsidRPr="00AB08BD" w:rsidRDefault="00AB08BD" w:rsidP="009647FB">
      <w:pPr>
        <w:pStyle w:val="ListParagraph"/>
        <w:numPr>
          <w:ilvl w:val="7"/>
          <w:numId w:val="6"/>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Motion arguments where all parties are represented by counsel</w:t>
      </w:r>
    </w:p>
    <w:p w14:paraId="0F914A04" w14:textId="77777777" w:rsidR="00AB08BD" w:rsidRPr="00AB08BD" w:rsidRDefault="00AB08BD" w:rsidP="009647FB">
      <w:pPr>
        <w:pStyle w:val="ListParagraph"/>
        <w:numPr>
          <w:ilvl w:val="7"/>
          <w:numId w:val="6"/>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Mental Hygiene Law Proceedings pertaining to a hospitalized adult (NOTE: Chief Administrative Judge Lawrence Marks’ Administrative Order AO/72/20 requires that Mental Hygiene Law proceedings in which a petitioner or other necessary party is confined to a hospital  be conducted with appearances by means of remote audiovisual technology or by telephone and therefore a request to deviate from the presumption should not be entertained).</w:t>
      </w:r>
    </w:p>
    <w:p w14:paraId="53D13479" w14:textId="3ACECF15" w:rsidR="00AB08BD" w:rsidRDefault="00AB08BD" w:rsidP="009647FB">
      <w:pPr>
        <w:pStyle w:val="ListParagraph"/>
        <w:numPr>
          <w:ilvl w:val="7"/>
          <w:numId w:val="6"/>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other proceedings not listed in (C)(1) above</w:t>
      </w:r>
    </w:p>
    <w:p w14:paraId="2AEB305F"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1BD6E891" w14:textId="77777777" w:rsidR="00AB08BD" w:rsidRPr="00AB08BD" w:rsidRDefault="00AB08BD" w:rsidP="009647FB">
      <w:pPr>
        <w:pStyle w:val="ListParagraph"/>
        <w:numPr>
          <w:ilvl w:val="6"/>
          <w:numId w:val="6"/>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Superior Criminal</w:t>
      </w:r>
    </w:p>
    <w:p w14:paraId="1EA4B7A7" w14:textId="77777777" w:rsidR="00AB08BD" w:rsidRPr="00AB08BD" w:rsidRDefault="00AB08BD" w:rsidP="009647FB">
      <w:pPr>
        <w:pStyle w:val="ListParagraph"/>
        <w:numPr>
          <w:ilvl w:val="7"/>
          <w:numId w:val="7"/>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Conferences</w:t>
      </w:r>
    </w:p>
    <w:p w14:paraId="30264541" w14:textId="1BAB7AE4" w:rsidR="00AB08BD" w:rsidRDefault="00AB08BD" w:rsidP="009647FB">
      <w:pPr>
        <w:pStyle w:val="ListParagraph"/>
        <w:numPr>
          <w:ilvl w:val="7"/>
          <w:numId w:val="7"/>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Waivers of Indictment, pleas and sentences where the defendant is incarcerated</w:t>
      </w:r>
    </w:p>
    <w:p w14:paraId="1C963028"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473BA24F" w14:textId="77777777" w:rsidR="00AB08BD" w:rsidRPr="00AB08BD" w:rsidRDefault="00AB08BD" w:rsidP="009647FB">
      <w:pPr>
        <w:pStyle w:val="ListParagraph"/>
        <w:numPr>
          <w:ilvl w:val="6"/>
          <w:numId w:val="6"/>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Family Court</w:t>
      </w:r>
    </w:p>
    <w:p w14:paraId="55CE866B" w14:textId="77777777" w:rsidR="00AB08BD" w:rsidRPr="00AB08BD" w:rsidRDefault="00AB08BD" w:rsidP="009647FB">
      <w:pPr>
        <w:pStyle w:val="ListParagraph"/>
        <w:numPr>
          <w:ilvl w:val="7"/>
          <w:numId w:val="8"/>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Conferences</w:t>
      </w:r>
    </w:p>
    <w:p w14:paraId="6F0788EA" w14:textId="77777777" w:rsidR="00AB08BD" w:rsidRPr="00AB08BD" w:rsidRDefault="00AB08BD" w:rsidP="009647FB">
      <w:pPr>
        <w:pStyle w:val="ListParagraph"/>
        <w:numPr>
          <w:ilvl w:val="7"/>
          <w:numId w:val="8"/>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Juvenile Delinquency Proceedings</w:t>
      </w:r>
    </w:p>
    <w:p w14:paraId="0F1C753E" w14:textId="67AF0C59" w:rsidR="00AB08BD" w:rsidRPr="00AB08BD" w:rsidRDefault="00AB08BD" w:rsidP="009647FB">
      <w:pPr>
        <w:pStyle w:val="ListParagraph"/>
        <w:numPr>
          <w:ilvl w:val="7"/>
          <w:numId w:val="8"/>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 xml:space="preserve">Person </w:t>
      </w:r>
      <w:r w:rsidR="009647FB" w:rsidRPr="00AB08BD">
        <w:rPr>
          <w:rFonts w:ascii="Times New Roman" w:hAnsi="Times New Roman" w:cs="Times New Roman"/>
          <w:sz w:val="24"/>
          <w:szCs w:val="24"/>
        </w:rPr>
        <w:t>in</w:t>
      </w:r>
      <w:r w:rsidRPr="00AB08BD">
        <w:rPr>
          <w:rFonts w:ascii="Times New Roman" w:hAnsi="Times New Roman" w:cs="Times New Roman"/>
          <w:sz w:val="24"/>
          <w:szCs w:val="24"/>
        </w:rPr>
        <w:t xml:space="preserve"> Need of Supervision Proceedings</w:t>
      </w:r>
    </w:p>
    <w:p w14:paraId="51CA854B" w14:textId="77777777" w:rsidR="00AB08BD" w:rsidRPr="00AB08BD" w:rsidRDefault="00AB08BD" w:rsidP="009647FB">
      <w:pPr>
        <w:pStyle w:val="ListParagraph"/>
        <w:numPr>
          <w:ilvl w:val="7"/>
          <w:numId w:val="8"/>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Adoptions</w:t>
      </w:r>
    </w:p>
    <w:p w14:paraId="616869CF" w14:textId="77777777" w:rsidR="00AB08BD" w:rsidRPr="00AB08BD" w:rsidRDefault="00AB08BD" w:rsidP="009647FB">
      <w:pPr>
        <w:pStyle w:val="ListParagraph"/>
        <w:numPr>
          <w:ilvl w:val="7"/>
          <w:numId w:val="8"/>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Appearances calendars</w:t>
      </w:r>
    </w:p>
    <w:p w14:paraId="7DB002B0" w14:textId="48C23244" w:rsidR="00AB08BD" w:rsidRDefault="00AB08BD" w:rsidP="009647FB">
      <w:pPr>
        <w:pStyle w:val="ListParagraph"/>
        <w:numPr>
          <w:ilvl w:val="7"/>
          <w:numId w:val="8"/>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other proceedings not listed in (C)(3) above</w:t>
      </w:r>
    </w:p>
    <w:p w14:paraId="5D0F3C55"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646407A1" w14:textId="77777777" w:rsidR="00AB08BD" w:rsidRPr="00AB08BD" w:rsidRDefault="00AB08BD" w:rsidP="009647FB">
      <w:pPr>
        <w:pStyle w:val="ListParagraph"/>
        <w:numPr>
          <w:ilvl w:val="6"/>
          <w:numId w:val="6"/>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Surrogates’ Court</w:t>
      </w:r>
    </w:p>
    <w:p w14:paraId="6C85A8B1" w14:textId="77777777" w:rsidR="00AB08BD" w:rsidRPr="00AB08BD" w:rsidRDefault="00AB08BD" w:rsidP="009647FB">
      <w:pPr>
        <w:pStyle w:val="ListParagraph"/>
        <w:numPr>
          <w:ilvl w:val="7"/>
          <w:numId w:val="9"/>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Conferences where all parties are represented by counsel</w:t>
      </w:r>
    </w:p>
    <w:p w14:paraId="5EA57C25" w14:textId="77777777" w:rsidR="00AB08BD" w:rsidRPr="00AB08BD" w:rsidRDefault="00AB08BD" w:rsidP="009647FB">
      <w:pPr>
        <w:pStyle w:val="ListParagraph"/>
        <w:numPr>
          <w:ilvl w:val="7"/>
          <w:numId w:val="9"/>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Motion Arguments where all parties are represented by counsel</w:t>
      </w:r>
    </w:p>
    <w:p w14:paraId="0D987C60" w14:textId="77777777" w:rsidR="00AB08BD" w:rsidRPr="00AB08BD" w:rsidRDefault="00AB08BD" w:rsidP="009647FB">
      <w:pPr>
        <w:pStyle w:val="ListParagraph"/>
        <w:numPr>
          <w:ilvl w:val="7"/>
          <w:numId w:val="9"/>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Adoptions</w:t>
      </w:r>
    </w:p>
    <w:p w14:paraId="2DE815B0" w14:textId="2C8A7CB8" w:rsidR="00AB08BD" w:rsidRDefault="00AB08BD" w:rsidP="009647FB">
      <w:pPr>
        <w:pStyle w:val="ListParagraph"/>
        <w:numPr>
          <w:ilvl w:val="7"/>
          <w:numId w:val="9"/>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lastRenderedPageBreak/>
        <w:t>All other proceedings not listed in (C)(4) above</w:t>
      </w:r>
    </w:p>
    <w:p w14:paraId="57DF71A3"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3B94DE39" w14:textId="77777777" w:rsidR="00AB08BD" w:rsidRPr="00AB08BD" w:rsidRDefault="00AB08BD" w:rsidP="009647FB">
      <w:pPr>
        <w:pStyle w:val="ListParagraph"/>
        <w:numPr>
          <w:ilvl w:val="6"/>
          <w:numId w:val="6"/>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City Court Civil</w:t>
      </w:r>
    </w:p>
    <w:p w14:paraId="591E1004" w14:textId="77777777" w:rsidR="00AB08BD" w:rsidRPr="00AB08BD" w:rsidRDefault="00AB08BD" w:rsidP="009647FB">
      <w:pPr>
        <w:pStyle w:val="ListParagraph"/>
        <w:numPr>
          <w:ilvl w:val="7"/>
          <w:numId w:val="10"/>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 xml:space="preserve">Conferences </w:t>
      </w:r>
    </w:p>
    <w:p w14:paraId="71594516" w14:textId="10C7D5DD" w:rsidR="00AB08BD" w:rsidRDefault="00AB08BD" w:rsidP="009647FB">
      <w:pPr>
        <w:pStyle w:val="ListParagraph"/>
        <w:numPr>
          <w:ilvl w:val="7"/>
          <w:numId w:val="10"/>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 xml:space="preserve">Motion arguments </w:t>
      </w:r>
    </w:p>
    <w:p w14:paraId="5D643203" w14:textId="320913F6" w:rsidR="00DE24D4" w:rsidRPr="00AB08BD" w:rsidRDefault="00DE24D4" w:rsidP="009647FB">
      <w:pPr>
        <w:pStyle w:val="ListParagraph"/>
        <w:numPr>
          <w:ilvl w:val="7"/>
          <w:numId w:val="10"/>
        </w:numPr>
        <w:spacing w:after="0"/>
        <w:ind w:left="1260" w:right="288"/>
        <w:rPr>
          <w:rFonts w:ascii="Times New Roman" w:hAnsi="Times New Roman" w:cs="Times New Roman"/>
          <w:sz w:val="24"/>
          <w:szCs w:val="24"/>
        </w:rPr>
      </w:pPr>
      <w:r>
        <w:rPr>
          <w:rFonts w:ascii="Times New Roman" w:hAnsi="Times New Roman" w:cs="Times New Roman"/>
          <w:sz w:val="24"/>
          <w:szCs w:val="24"/>
        </w:rPr>
        <w:t>Eviction</w:t>
      </w:r>
      <w:r w:rsidR="00E94EF4">
        <w:rPr>
          <w:rFonts w:ascii="Times New Roman" w:hAnsi="Times New Roman" w:cs="Times New Roman"/>
          <w:sz w:val="24"/>
          <w:szCs w:val="24"/>
        </w:rPr>
        <w:t xml:space="preserve"> proceedings</w:t>
      </w:r>
    </w:p>
    <w:p w14:paraId="08BC62D1" w14:textId="32176F67" w:rsidR="00AB08BD" w:rsidRDefault="00AB08BD" w:rsidP="009647FB">
      <w:pPr>
        <w:pStyle w:val="ListParagraph"/>
        <w:numPr>
          <w:ilvl w:val="7"/>
          <w:numId w:val="10"/>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other proceedings not listed in (C)(5) above</w:t>
      </w:r>
    </w:p>
    <w:p w14:paraId="48199F8E"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3E27AF49" w14:textId="77777777" w:rsidR="00AB08BD" w:rsidRPr="00AB08BD" w:rsidRDefault="00AB08BD" w:rsidP="009647FB">
      <w:pPr>
        <w:pStyle w:val="ListParagraph"/>
        <w:numPr>
          <w:ilvl w:val="6"/>
          <w:numId w:val="6"/>
        </w:numPr>
        <w:spacing w:after="0"/>
        <w:ind w:left="900" w:right="288"/>
        <w:rPr>
          <w:rFonts w:ascii="Times New Roman" w:hAnsi="Times New Roman" w:cs="Times New Roman"/>
          <w:sz w:val="24"/>
          <w:szCs w:val="24"/>
        </w:rPr>
      </w:pPr>
      <w:r w:rsidRPr="00AB08BD">
        <w:rPr>
          <w:rFonts w:ascii="Times New Roman" w:hAnsi="Times New Roman" w:cs="Times New Roman"/>
          <w:sz w:val="24"/>
          <w:szCs w:val="24"/>
        </w:rPr>
        <w:t>City Court Criminal</w:t>
      </w:r>
    </w:p>
    <w:p w14:paraId="137C68AD" w14:textId="77777777" w:rsidR="00AB08BD" w:rsidRPr="00AB08BD" w:rsidRDefault="00AB08BD" w:rsidP="009647FB">
      <w:pPr>
        <w:pStyle w:val="ListParagraph"/>
        <w:numPr>
          <w:ilvl w:val="7"/>
          <w:numId w:val="11"/>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Conferences</w:t>
      </w:r>
    </w:p>
    <w:p w14:paraId="26C87091" w14:textId="77777777" w:rsidR="00AB08BD" w:rsidRPr="00AB08BD" w:rsidRDefault="00AB08BD" w:rsidP="009647FB">
      <w:pPr>
        <w:pStyle w:val="ListParagraph"/>
        <w:numPr>
          <w:ilvl w:val="7"/>
          <w:numId w:val="11"/>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Pleas and sentences where the defendant is incarcerated</w:t>
      </w:r>
    </w:p>
    <w:p w14:paraId="72933B98" w14:textId="1A0ADBF6" w:rsidR="00AB08BD" w:rsidRDefault="00AB08BD" w:rsidP="009647FB">
      <w:pPr>
        <w:pStyle w:val="ListParagraph"/>
        <w:numPr>
          <w:ilvl w:val="7"/>
          <w:numId w:val="11"/>
        </w:numPr>
        <w:spacing w:after="0"/>
        <w:ind w:left="1260" w:right="288"/>
        <w:rPr>
          <w:rFonts w:ascii="Times New Roman" w:hAnsi="Times New Roman" w:cs="Times New Roman"/>
          <w:sz w:val="24"/>
          <w:szCs w:val="24"/>
        </w:rPr>
      </w:pPr>
      <w:r w:rsidRPr="00AB08BD">
        <w:rPr>
          <w:rFonts w:ascii="Times New Roman" w:hAnsi="Times New Roman" w:cs="Times New Roman"/>
          <w:sz w:val="24"/>
          <w:szCs w:val="24"/>
        </w:rPr>
        <w:t>All other proceedings not listed in in (C)(6) above</w:t>
      </w:r>
    </w:p>
    <w:p w14:paraId="2DA529E2" w14:textId="77777777" w:rsidR="00BF4C8F" w:rsidRPr="00AB08BD" w:rsidRDefault="00BF4C8F" w:rsidP="00BF4C8F">
      <w:pPr>
        <w:pStyle w:val="ListParagraph"/>
        <w:spacing w:after="0"/>
        <w:ind w:left="1260" w:right="288"/>
        <w:rPr>
          <w:rFonts w:ascii="Times New Roman" w:hAnsi="Times New Roman" w:cs="Times New Roman"/>
          <w:sz w:val="24"/>
          <w:szCs w:val="24"/>
        </w:rPr>
      </w:pPr>
    </w:p>
    <w:p w14:paraId="15623D05" w14:textId="1BAA755A" w:rsidR="00AB08BD" w:rsidRDefault="00AB08BD" w:rsidP="009647FB">
      <w:pPr>
        <w:pStyle w:val="ListParagraph"/>
        <w:numPr>
          <w:ilvl w:val="0"/>
          <w:numId w:val="3"/>
        </w:numPr>
        <w:autoSpaceDE w:val="0"/>
        <w:autoSpaceDN w:val="0"/>
        <w:adjustRightInd w:val="0"/>
        <w:spacing w:after="0" w:line="240" w:lineRule="auto"/>
        <w:ind w:left="180" w:right="288" w:hanging="180"/>
        <w:rPr>
          <w:rFonts w:ascii="Times New Roman" w:hAnsi="Times New Roman" w:cs="Times New Roman"/>
          <w:sz w:val="24"/>
          <w:szCs w:val="24"/>
        </w:rPr>
      </w:pPr>
      <w:r w:rsidRPr="00AB08BD">
        <w:rPr>
          <w:rFonts w:ascii="Times New Roman" w:hAnsi="Times New Roman" w:cs="Times New Roman"/>
          <w:sz w:val="24"/>
          <w:szCs w:val="24"/>
        </w:rPr>
        <w:t>Courts should note the following:</w:t>
      </w:r>
    </w:p>
    <w:p w14:paraId="7564B271" w14:textId="77777777" w:rsidR="009647FB" w:rsidRPr="00AB08BD" w:rsidRDefault="009647FB" w:rsidP="009647FB">
      <w:pPr>
        <w:pStyle w:val="ListParagraph"/>
        <w:autoSpaceDE w:val="0"/>
        <w:autoSpaceDN w:val="0"/>
        <w:adjustRightInd w:val="0"/>
        <w:spacing w:after="0" w:line="240" w:lineRule="auto"/>
        <w:ind w:left="180" w:right="288"/>
        <w:rPr>
          <w:rFonts w:ascii="Times New Roman" w:hAnsi="Times New Roman" w:cs="Times New Roman"/>
          <w:sz w:val="24"/>
          <w:szCs w:val="24"/>
        </w:rPr>
      </w:pPr>
    </w:p>
    <w:bookmarkEnd w:id="1"/>
    <w:bookmarkEnd w:id="2"/>
    <w:p w14:paraId="22BFDA8C" w14:textId="13A18A74" w:rsidR="006926C9" w:rsidRPr="003C1579" w:rsidRDefault="006926C9" w:rsidP="003C1579">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6926C9">
        <w:rPr>
          <w:rFonts w:ascii="Times New Roman" w:hAnsi="Times New Roman" w:cs="Times New Roman"/>
          <w:sz w:val="24"/>
          <w:szCs w:val="24"/>
        </w:rPr>
        <w:t>All virtual matters shall be held via Skype for Business until the conversion to Microsoft Teams is fully implemented.  Included in the Skype for Business invitation is a call-in number for lawyers and litigants that do not have access to Skype for Business video.  In the event that a self-represented litigant is unable to access Skype for Business, arrangements shall be made at the courthouse for the litigant to appear virtually.</w:t>
      </w:r>
    </w:p>
    <w:p w14:paraId="1C7D5752" w14:textId="77777777" w:rsidR="00E94EF4" w:rsidRPr="00E94EF4" w:rsidRDefault="00E94EF4"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E94EF4">
        <w:rPr>
          <w:rStyle w:val="fontstyle01"/>
          <w:rFonts w:ascii="Times New Roman" w:hAnsi="Times New Roman" w:cs="Times New Roman"/>
          <w:sz w:val="24"/>
          <w:szCs w:val="24"/>
        </w:rPr>
        <w:t>Housing matters may proceed pursuant to the protocol established in the Memorandum from Chief Administrative Judge Lawrence</w:t>
      </w:r>
      <w:r>
        <w:rPr>
          <w:rStyle w:val="fontstyle01"/>
          <w:rFonts w:ascii="Times New Roman" w:hAnsi="Times New Roman" w:cs="Times New Roman"/>
          <w:sz w:val="24"/>
          <w:szCs w:val="24"/>
        </w:rPr>
        <w:t xml:space="preserve"> </w:t>
      </w:r>
      <w:r w:rsidRPr="00E94EF4">
        <w:rPr>
          <w:rStyle w:val="fontstyle01"/>
          <w:rFonts w:ascii="Times New Roman" w:hAnsi="Times New Roman" w:cs="Times New Roman"/>
          <w:sz w:val="24"/>
          <w:szCs w:val="24"/>
        </w:rPr>
        <w:t>Marks dated October 9, 2020 and pursuant to Administrative Order AO/231/20.</w:t>
      </w:r>
      <w:r>
        <w:t xml:space="preserve"> </w:t>
      </w:r>
    </w:p>
    <w:p w14:paraId="1F9A570F" w14:textId="6D6A2794" w:rsidR="00AB08BD" w:rsidRPr="00AB08BD" w:rsidRDefault="00AB08BD"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AB08BD">
        <w:rPr>
          <w:rFonts w:ascii="Times New Roman" w:hAnsi="Times New Roman" w:cs="Times New Roman"/>
          <w:sz w:val="24"/>
          <w:szCs w:val="24"/>
        </w:rPr>
        <w:t>Foreclosure matters may proceed pursuant to the protocol established in the Memorandum from Chief Administrative Judge Lawrence Marks dated July 24, 2020 and pursuant to Administrative Order AO/157/20 dated July 23, 2020.</w:t>
      </w:r>
    </w:p>
    <w:p w14:paraId="64AA947A" w14:textId="77777777" w:rsidR="00F547A2" w:rsidRDefault="009A5C6A"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9A5C6A">
        <w:rPr>
          <w:rStyle w:val="fontstyle01"/>
          <w:rFonts w:ascii="Times New Roman" w:hAnsi="Times New Roman" w:cs="Times New Roman"/>
          <w:sz w:val="24"/>
          <w:szCs w:val="24"/>
        </w:rPr>
        <w:t>Default judgments shall not be granted where, pursuant to CPLR 3215, the default occurred after March 16, 2020. Notwithstanding</w:t>
      </w:r>
      <w:r>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the foregoing, a judge presiding over a matter wherein a party has defaulted may grant a default judgment where, after inquiry, the</w:t>
      </w:r>
      <w:r>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judge determines that (a) the defaulting party has received actual notice of the action or proceeding; (b) the failure of the</w:t>
      </w:r>
      <w:r>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defaulting party to respond to the action or proceeding is not due to the COVID-19 pandemic; and (c) the granting of the default</w:t>
      </w:r>
      <w:r>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judgment is not</w:t>
      </w:r>
      <w:r w:rsidR="00F547A2">
        <w:rPr>
          <w:rStyle w:val="fontstyle01"/>
          <w:rFonts w:ascii="Times New Roman" w:hAnsi="Times New Roman" w:cs="Times New Roman"/>
          <w:sz w:val="24"/>
          <w:szCs w:val="24"/>
        </w:rPr>
        <w:t xml:space="preserve"> c</w:t>
      </w:r>
      <w:r w:rsidRPr="009A5C6A">
        <w:rPr>
          <w:rStyle w:val="fontstyle01"/>
          <w:rFonts w:ascii="Times New Roman" w:hAnsi="Times New Roman" w:cs="Times New Roman"/>
          <w:sz w:val="24"/>
          <w:szCs w:val="24"/>
        </w:rPr>
        <w:t>ontrary to any statute, Executive Order or Administrative Order. Note: Executive Order 202.60 extends the</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toll on</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statutes of limitations (first set forth in EO 202.8 on March 20, 2020 and later extended by 202.48,</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202.38, 202.28, and 202.14)</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through October 4, 2020. Default judgments may be governed by the</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suspension of “any specific time limit for the</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commencement, filing or service of any legal action, notice,</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motion or other process or proceeding, as described by the procedural</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laws of the state.” A judgment</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adverse to the party seeking relief (plaintiff, petitioner, moving party, etc.) may be granted in the</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event that</w:t>
      </w:r>
      <w:r w:rsidR="00F547A2">
        <w:rPr>
          <w:rStyle w:val="fontstyle01"/>
          <w:rFonts w:ascii="Times New Roman" w:hAnsi="Times New Roman" w:cs="Times New Roman"/>
          <w:sz w:val="24"/>
          <w:szCs w:val="24"/>
        </w:rPr>
        <w:t xml:space="preserve"> </w:t>
      </w:r>
      <w:r w:rsidRPr="009A5C6A">
        <w:rPr>
          <w:rStyle w:val="fontstyle01"/>
          <w:rFonts w:ascii="Times New Roman" w:hAnsi="Times New Roman" w:cs="Times New Roman"/>
          <w:sz w:val="24"/>
          <w:szCs w:val="24"/>
        </w:rPr>
        <w:t>party fails to proceed with the action or appear in court.</w:t>
      </w:r>
      <w:r w:rsidRPr="009A5C6A">
        <w:rPr>
          <w:rFonts w:ascii="Times New Roman" w:hAnsi="Times New Roman" w:cs="Times New Roman"/>
          <w:sz w:val="24"/>
          <w:szCs w:val="24"/>
        </w:rPr>
        <w:t xml:space="preserve"> </w:t>
      </w:r>
    </w:p>
    <w:p w14:paraId="54B11AB9" w14:textId="0C9FAC88" w:rsidR="00AB08BD" w:rsidRPr="00AB08BD" w:rsidRDefault="00AB08BD"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AB08BD">
        <w:rPr>
          <w:rFonts w:ascii="Times New Roman" w:hAnsi="Times New Roman" w:cs="Times New Roman"/>
          <w:sz w:val="24"/>
          <w:szCs w:val="24"/>
        </w:rPr>
        <w:t>ADR shall be conducted virtually (Chief Administrative Judge Lawrence Marks’ AO/87/20).</w:t>
      </w:r>
    </w:p>
    <w:p w14:paraId="295B1216" w14:textId="77777777" w:rsidR="00AB08BD" w:rsidRPr="00AB08BD" w:rsidRDefault="00AB08BD"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AB08BD">
        <w:rPr>
          <w:rFonts w:ascii="Times New Roman" w:hAnsi="Times New Roman" w:cs="Times New Roman"/>
          <w:sz w:val="24"/>
          <w:szCs w:val="24"/>
        </w:rPr>
        <w:t>Arbitrations pursuant to the Part 137 Attorney-Client Fee Dispute Resolution Program will occur virtually.</w:t>
      </w:r>
    </w:p>
    <w:p w14:paraId="25D19888" w14:textId="137090E5" w:rsidR="00AB08BD" w:rsidRDefault="00AB08BD"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AB08BD">
        <w:rPr>
          <w:rFonts w:ascii="Times New Roman" w:hAnsi="Times New Roman" w:cs="Times New Roman"/>
          <w:sz w:val="24"/>
          <w:szCs w:val="24"/>
        </w:rPr>
        <w:t>Small Claims Assessment Review proceedings shall be conducted virtually.</w:t>
      </w:r>
    </w:p>
    <w:p w14:paraId="60735C3C" w14:textId="319701A9" w:rsidR="00CC2698" w:rsidRPr="00CC2698" w:rsidRDefault="00CC2698" w:rsidP="00111B80">
      <w:pPr>
        <w:pStyle w:val="ListParagraph"/>
        <w:numPr>
          <w:ilvl w:val="0"/>
          <w:numId w:val="4"/>
        </w:numPr>
        <w:autoSpaceDE w:val="0"/>
        <w:autoSpaceDN w:val="0"/>
        <w:adjustRightInd w:val="0"/>
        <w:spacing w:after="0" w:line="276" w:lineRule="auto"/>
        <w:ind w:left="360" w:right="288" w:hanging="180"/>
        <w:rPr>
          <w:rFonts w:ascii="Times New Roman" w:hAnsi="Times New Roman" w:cs="Times New Roman"/>
          <w:sz w:val="24"/>
          <w:szCs w:val="24"/>
        </w:rPr>
      </w:pPr>
      <w:r w:rsidRPr="00CC2698">
        <w:rPr>
          <w:rStyle w:val="fontstyle01"/>
          <w:rFonts w:ascii="Times New Roman" w:hAnsi="Times New Roman" w:cs="Times New Roman"/>
          <w:sz w:val="24"/>
          <w:szCs w:val="24"/>
        </w:rPr>
        <w:t>Superior Court Criminal trials may be conducted in all counties in Term 12 and thereafter. Supreme Court civil trials may be</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conducted in all counties in Term 11 and thereafter. Those counties approved to conduct</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criminal and civil jury trials as part of the</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 xml:space="preserve">pilot plan may continue to conduct </w:t>
      </w:r>
      <w:r>
        <w:rPr>
          <w:rStyle w:val="fontstyle01"/>
          <w:rFonts w:ascii="Times New Roman" w:hAnsi="Times New Roman" w:cs="Times New Roman"/>
          <w:sz w:val="24"/>
          <w:szCs w:val="24"/>
        </w:rPr>
        <w:t xml:space="preserve">those </w:t>
      </w:r>
      <w:r w:rsidRPr="00CC2698">
        <w:rPr>
          <w:rStyle w:val="fontstyle01"/>
          <w:rFonts w:ascii="Times New Roman" w:hAnsi="Times New Roman" w:cs="Times New Roman"/>
          <w:sz w:val="24"/>
          <w:szCs w:val="24"/>
        </w:rPr>
        <w:t>trials. Planning for a Special</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City Court Criminal Jury Trial Pilot shall commence in Term 11 with</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Jury Summonses to be sent in Term</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12 and trials to be held in Term 13 (in selected jurisdictions). Scheduling of trials in all courts</w:t>
      </w:r>
      <w:r>
        <w:rPr>
          <w:rStyle w:val="fontstyle01"/>
          <w:rFonts w:ascii="Times New Roman" w:hAnsi="Times New Roman" w:cs="Times New Roman"/>
          <w:sz w:val="24"/>
          <w:szCs w:val="24"/>
        </w:rPr>
        <w:t xml:space="preserve"> </w:t>
      </w:r>
      <w:r w:rsidRPr="00CC2698">
        <w:rPr>
          <w:rStyle w:val="fontstyle01"/>
          <w:rFonts w:ascii="Times New Roman" w:hAnsi="Times New Roman" w:cs="Times New Roman"/>
          <w:sz w:val="24"/>
          <w:szCs w:val="24"/>
        </w:rPr>
        <w:t xml:space="preserve">must be approved by the </w:t>
      </w:r>
      <w:r>
        <w:rPr>
          <w:rStyle w:val="fontstyle01"/>
          <w:rFonts w:ascii="Times New Roman" w:hAnsi="Times New Roman" w:cs="Times New Roman"/>
          <w:sz w:val="24"/>
          <w:szCs w:val="24"/>
        </w:rPr>
        <w:t xml:space="preserve">District </w:t>
      </w:r>
      <w:r w:rsidRPr="00CC2698">
        <w:rPr>
          <w:rStyle w:val="fontstyle01"/>
          <w:rFonts w:ascii="Times New Roman" w:hAnsi="Times New Roman" w:cs="Times New Roman"/>
          <w:sz w:val="24"/>
          <w:szCs w:val="24"/>
        </w:rPr>
        <w:t>Administrative Judge</w:t>
      </w:r>
      <w:r>
        <w:rPr>
          <w:rStyle w:val="fontstyle01"/>
          <w:rFonts w:ascii="Times New Roman" w:hAnsi="Times New Roman" w:cs="Times New Roman"/>
          <w:sz w:val="24"/>
          <w:szCs w:val="24"/>
        </w:rPr>
        <w:t xml:space="preserve"> prior to scheduling</w:t>
      </w:r>
      <w:r w:rsidRPr="00CC2698">
        <w:rPr>
          <w:rStyle w:val="fontstyle01"/>
          <w:rFonts w:ascii="Times New Roman" w:hAnsi="Times New Roman" w:cs="Times New Roman"/>
          <w:sz w:val="24"/>
          <w:szCs w:val="24"/>
        </w:rPr>
        <w:t>.</w:t>
      </w:r>
    </w:p>
    <w:p w14:paraId="37A8381E" w14:textId="77777777" w:rsidR="00AB08BD" w:rsidRPr="00AB08BD" w:rsidRDefault="00AB08BD" w:rsidP="00111B80">
      <w:pPr>
        <w:autoSpaceDE w:val="0"/>
        <w:autoSpaceDN w:val="0"/>
        <w:adjustRightInd w:val="0"/>
        <w:spacing w:after="0" w:line="276" w:lineRule="auto"/>
        <w:ind w:right="288"/>
        <w:rPr>
          <w:rFonts w:cstheme="minorHAnsi"/>
        </w:rPr>
      </w:pPr>
    </w:p>
    <w:sectPr w:rsidR="00AB08BD" w:rsidRPr="00AB08BD" w:rsidSect="00CC2698">
      <w:headerReference w:type="even" r:id="rId8"/>
      <w:headerReference w:type="default" r:id="rId9"/>
      <w:footerReference w:type="even" r:id="rId10"/>
      <w:footerReference w:type="default" r:id="rId11"/>
      <w:headerReference w:type="first" r:id="rId12"/>
      <w:footerReference w:type="first" r:id="rId13"/>
      <w:pgSz w:w="12240" w:h="15840"/>
      <w:pgMar w:top="450" w:right="576" w:bottom="270" w:left="576"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13C19" w14:textId="77777777" w:rsidR="00CF2458" w:rsidRDefault="00CF2458" w:rsidP="00A41B39">
      <w:pPr>
        <w:spacing w:after="0" w:line="240" w:lineRule="auto"/>
      </w:pPr>
      <w:r>
        <w:separator/>
      </w:r>
    </w:p>
  </w:endnote>
  <w:endnote w:type="continuationSeparator" w:id="0">
    <w:p w14:paraId="74A84C83" w14:textId="77777777" w:rsidR="00CF2458" w:rsidRDefault="00CF2458" w:rsidP="00A4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E488" w14:textId="77777777" w:rsidR="00937D76" w:rsidRDefault="00937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FFDB" w14:textId="77777777" w:rsidR="00C568B3" w:rsidRDefault="00C568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81AD" w14:textId="77777777" w:rsidR="00937D76" w:rsidRDefault="00937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61DFE" w14:textId="77777777" w:rsidR="00CF2458" w:rsidRDefault="00CF2458" w:rsidP="00A41B39">
      <w:pPr>
        <w:spacing w:after="0" w:line="240" w:lineRule="auto"/>
      </w:pPr>
      <w:r>
        <w:separator/>
      </w:r>
    </w:p>
  </w:footnote>
  <w:footnote w:type="continuationSeparator" w:id="0">
    <w:p w14:paraId="682CD347" w14:textId="77777777" w:rsidR="00CF2458" w:rsidRDefault="00CF2458" w:rsidP="00A4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DF21" w14:textId="77777777" w:rsidR="00937D76" w:rsidRDefault="00937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0E734" w14:textId="77777777" w:rsidR="00937D76" w:rsidRDefault="00937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BC8" w14:textId="2035E966" w:rsidR="00937D76" w:rsidRDefault="00937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45DA"/>
    <w:multiLevelType w:val="multilevel"/>
    <w:tmpl w:val="826E21FA"/>
    <w:numStyleLink w:val="Nicole"/>
  </w:abstractNum>
  <w:abstractNum w:abstractNumId="1" w15:restartNumberingAfterBreak="0">
    <w:nsid w:val="04806125"/>
    <w:multiLevelType w:val="multilevel"/>
    <w:tmpl w:val="826E21FA"/>
    <w:numStyleLink w:val="Nicole"/>
  </w:abstractNum>
  <w:abstractNum w:abstractNumId="2" w15:restartNumberingAfterBreak="0">
    <w:nsid w:val="0A9062C1"/>
    <w:multiLevelType w:val="hybridMultilevel"/>
    <w:tmpl w:val="C9B6D2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70D"/>
    <w:multiLevelType w:val="hybridMultilevel"/>
    <w:tmpl w:val="E08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C22DD"/>
    <w:multiLevelType w:val="hybridMultilevel"/>
    <w:tmpl w:val="5D3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75564"/>
    <w:multiLevelType w:val="multilevel"/>
    <w:tmpl w:val="826E21FA"/>
    <w:numStyleLink w:val="Nicole"/>
  </w:abstractNum>
  <w:abstractNum w:abstractNumId="6" w15:restartNumberingAfterBreak="0">
    <w:nsid w:val="31280B92"/>
    <w:multiLevelType w:val="multilevel"/>
    <w:tmpl w:val="826E21FA"/>
    <w:numStyleLink w:val="Nicole"/>
  </w:abstractNum>
  <w:abstractNum w:abstractNumId="7" w15:restartNumberingAfterBreak="0">
    <w:nsid w:val="3FB13041"/>
    <w:multiLevelType w:val="multilevel"/>
    <w:tmpl w:val="826E21FA"/>
    <w:styleLink w:val="Nicole"/>
    <w:lvl w:ilvl="0">
      <w:start w:val="1"/>
      <w:numFmt w:val="upperRoman"/>
      <w:lvlText w:val="%1."/>
      <w:lvlJc w:val="left"/>
      <w:pPr>
        <w:ind w:left="360" w:hanging="360"/>
      </w:pPr>
      <w:rPr>
        <w:rFonts w:ascii="Calibri" w:hAnsi="Calibri" w:hint="default"/>
        <w:b w:val="0"/>
        <w:i w:val="0"/>
        <w:color w:val="auto"/>
        <w:sz w:val="24"/>
      </w:rPr>
    </w:lvl>
    <w:lvl w:ilvl="1">
      <w:start w:val="1"/>
      <w:numFmt w:val="upperLetter"/>
      <w:lvlText w:val="%2."/>
      <w:lvlJc w:val="left"/>
      <w:pPr>
        <w:ind w:left="360" w:hanging="360"/>
      </w:pPr>
      <w:rPr>
        <w:rFonts w:hint="default"/>
      </w:rPr>
    </w:lvl>
    <w:lvl w:ilvl="2">
      <w:start w:val="1"/>
      <w:numFmt w:val="none"/>
      <w:lvlText w:val="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5E56C18"/>
    <w:multiLevelType w:val="multilevel"/>
    <w:tmpl w:val="826E21FA"/>
    <w:numStyleLink w:val="Nicole"/>
  </w:abstractNum>
  <w:abstractNum w:abstractNumId="9" w15:restartNumberingAfterBreak="0">
    <w:nsid w:val="578966E4"/>
    <w:multiLevelType w:val="multilevel"/>
    <w:tmpl w:val="826E21FA"/>
    <w:numStyleLink w:val="Nicole"/>
  </w:abstractNum>
  <w:abstractNum w:abstractNumId="10" w15:restartNumberingAfterBreak="0">
    <w:nsid w:val="6D1D4E6F"/>
    <w:multiLevelType w:val="multilevel"/>
    <w:tmpl w:val="826E21FA"/>
    <w:numStyleLink w:val="Nicole"/>
  </w:abstractNum>
  <w:abstractNum w:abstractNumId="11" w15:restartNumberingAfterBreak="0">
    <w:nsid w:val="78C91A73"/>
    <w:multiLevelType w:val="hybridMultilevel"/>
    <w:tmpl w:val="2D6E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03D60"/>
    <w:multiLevelType w:val="multilevel"/>
    <w:tmpl w:val="826E21FA"/>
    <w:numStyleLink w:val="Nicole"/>
  </w:abstractNum>
  <w:num w:numId="1">
    <w:abstractNumId w:val="7"/>
  </w:num>
  <w:num w:numId="2">
    <w:abstractNumId w:val="11"/>
  </w:num>
  <w:num w:numId="3">
    <w:abstractNumId w:val="3"/>
  </w:num>
  <w:num w:numId="4">
    <w:abstractNumId w:val="2"/>
  </w:num>
  <w:num w:numId="5">
    <w:abstractNumId w:val="5"/>
  </w:num>
  <w:num w:numId="6">
    <w:abstractNumId w:val="6"/>
  </w:num>
  <w:num w:numId="7">
    <w:abstractNumId w:val="9"/>
  </w:num>
  <w:num w:numId="8">
    <w:abstractNumId w:val="8"/>
  </w:num>
  <w:num w:numId="9">
    <w:abstractNumId w:val="10"/>
  </w:num>
  <w:num w:numId="10">
    <w:abstractNumId w:val="0"/>
  </w:num>
  <w:num w:numId="11">
    <w:abstractNumId w:val="1"/>
  </w:num>
  <w:num w:numId="12">
    <w:abstractNumId w:val="4"/>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49"/>
    <w:rsid w:val="00000F79"/>
    <w:rsid w:val="000141F8"/>
    <w:rsid w:val="00027D37"/>
    <w:rsid w:val="00036945"/>
    <w:rsid w:val="000538F3"/>
    <w:rsid w:val="00061876"/>
    <w:rsid w:val="00063317"/>
    <w:rsid w:val="000840CF"/>
    <w:rsid w:val="00087783"/>
    <w:rsid w:val="0009163F"/>
    <w:rsid w:val="000C0E9F"/>
    <w:rsid w:val="000C72D2"/>
    <w:rsid w:val="000D7D5C"/>
    <w:rsid w:val="000E7A78"/>
    <w:rsid w:val="00102D18"/>
    <w:rsid w:val="00103FEA"/>
    <w:rsid w:val="00107B60"/>
    <w:rsid w:val="00111B80"/>
    <w:rsid w:val="0011344D"/>
    <w:rsid w:val="00116AE5"/>
    <w:rsid w:val="00152D33"/>
    <w:rsid w:val="001534F7"/>
    <w:rsid w:val="0017274A"/>
    <w:rsid w:val="0018251B"/>
    <w:rsid w:val="00187B54"/>
    <w:rsid w:val="001A47DC"/>
    <w:rsid w:val="001A534E"/>
    <w:rsid w:val="001C0B5B"/>
    <w:rsid w:val="00225305"/>
    <w:rsid w:val="00227E7B"/>
    <w:rsid w:val="00231F43"/>
    <w:rsid w:val="00235034"/>
    <w:rsid w:val="0024047C"/>
    <w:rsid w:val="00251851"/>
    <w:rsid w:val="00255D3C"/>
    <w:rsid w:val="002574D1"/>
    <w:rsid w:val="002670CC"/>
    <w:rsid w:val="002762BC"/>
    <w:rsid w:val="00277525"/>
    <w:rsid w:val="002863E6"/>
    <w:rsid w:val="00296352"/>
    <w:rsid w:val="00297839"/>
    <w:rsid w:val="002A6B8F"/>
    <w:rsid w:val="002A7390"/>
    <w:rsid w:val="002C7FF9"/>
    <w:rsid w:val="002F0D9D"/>
    <w:rsid w:val="002F1CD1"/>
    <w:rsid w:val="002F727F"/>
    <w:rsid w:val="00301526"/>
    <w:rsid w:val="00305324"/>
    <w:rsid w:val="00312859"/>
    <w:rsid w:val="003217D7"/>
    <w:rsid w:val="0034115A"/>
    <w:rsid w:val="003615D0"/>
    <w:rsid w:val="003665EF"/>
    <w:rsid w:val="00371D74"/>
    <w:rsid w:val="00384296"/>
    <w:rsid w:val="003A1776"/>
    <w:rsid w:val="003A3A07"/>
    <w:rsid w:val="003B4A01"/>
    <w:rsid w:val="003C1579"/>
    <w:rsid w:val="003C1B26"/>
    <w:rsid w:val="004132DB"/>
    <w:rsid w:val="0043082A"/>
    <w:rsid w:val="004372D6"/>
    <w:rsid w:val="004426FA"/>
    <w:rsid w:val="00460DCD"/>
    <w:rsid w:val="00466062"/>
    <w:rsid w:val="0047037D"/>
    <w:rsid w:val="00471466"/>
    <w:rsid w:val="0049240D"/>
    <w:rsid w:val="004966DA"/>
    <w:rsid w:val="004C5A92"/>
    <w:rsid w:val="004F4EF9"/>
    <w:rsid w:val="004F6372"/>
    <w:rsid w:val="00500117"/>
    <w:rsid w:val="00504006"/>
    <w:rsid w:val="00516B0C"/>
    <w:rsid w:val="00517238"/>
    <w:rsid w:val="00521938"/>
    <w:rsid w:val="005319C8"/>
    <w:rsid w:val="005406D8"/>
    <w:rsid w:val="00543C39"/>
    <w:rsid w:val="005572EB"/>
    <w:rsid w:val="00557A92"/>
    <w:rsid w:val="00575F30"/>
    <w:rsid w:val="00585F32"/>
    <w:rsid w:val="005A0F86"/>
    <w:rsid w:val="005B05ED"/>
    <w:rsid w:val="005B5EAC"/>
    <w:rsid w:val="005C2B10"/>
    <w:rsid w:val="005C4E24"/>
    <w:rsid w:val="005E0F94"/>
    <w:rsid w:val="005E5035"/>
    <w:rsid w:val="005E759E"/>
    <w:rsid w:val="005E7CAC"/>
    <w:rsid w:val="005F1F97"/>
    <w:rsid w:val="005F5485"/>
    <w:rsid w:val="005F5FD7"/>
    <w:rsid w:val="00600B13"/>
    <w:rsid w:val="00606740"/>
    <w:rsid w:val="00613786"/>
    <w:rsid w:val="0061738F"/>
    <w:rsid w:val="006210A7"/>
    <w:rsid w:val="00657CEC"/>
    <w:rsid w:val="00662B66"/>
    <w:rsid w:val="006643F4"/>
    <w:rsid w:val="0067395D"/>
    <w:rsid w:val="0067536B"/>
    <w:rsid w:val="0068341D"/>
    <w:rsid w:val="00687830"/>
    <w:rsid w:val="006926C9"/>
    <w:rsid w:val="006B1A51"/>
    <w:rsid w:val="006C3443"/>
    <w:rsid w:val="006D1D56"/>
    <w:rsid w:val="006D6F00"/>
    <w:rsid w:val="007048B9"/>
    <w:rsid w:val="00713370"/>
    <w:rsid w:val="00722807"/>
    <w:rsid w:val="00730462"/>
    <w:rsid w:val="00741264"/>
    <w:rsid w:val="00751551"/>
    <w:rsid w:val="00765B1C"/>
    <w:rsid w:val="00766C7D"/>
    <w:rsid w:val="00771CF4"/>
    <w:rsid w:val="007875A4"/>
    <w:rsid w:val="007A1F64"/>
    <w:rsid w:val="007A343D"/>
    <w:rsid w:val="007A5BBA"/>
    <w:rsid w:val="007A66DD"/>
    <w:rsid w:val="007D2825"/>
    <w:rsid w:val="007D51B1"/>
    <w:rsid w:val="007E2095"/>
    <w:rsid w:val="007E7357"/>
    <w:rsid w:val="00804E77"/>
    <w:rsid w:val="008077B0"/>
    <w:rsid w:val="00833C2D"/>
    <w:rsid w:val="008401B9"/>
    <w:rsid w:val="00854E66"/>
    <w:rsid w:val="00855DF7"/>
    <w:rsid w:val="00875948"/>
    <w:rsid w:val="00891F55"/>
    <w:rsid w:val="008A2A17"/>
    <w:rsid w:val="008A633D"/>
    <w:rsid w:val="008C4A5B"/>
    <w:rsid w:val="008E53F6"/>
    <w:rsid w:val="0091114C"/>
    <w:rsid w:val="00936F2B"/>
    <w:rsid w:val="00937D76"/>
    <w:rsid w:val="009441A2"/>
    <w:rsid w:val="00947BC9"/>
    <w:rsid w:val="0095632A"/>
    <w:rsid w:val="009647FB"/>
    <w:rsid w:val="00970976"/>
    <w:rsid w:val="00971172"/>
    <w:rsid w:val="009756CA"/>
    <w:rsid w:val="00980341"/>
    <w:rsid w:val="00986960"/>
    <w:rsid w:val="00993DCF"/>
    <w:rsid w:val="00996DE3"/>
    <w:rsid w:val="009A5C6A"/>
    <w:rsid w:val="009A6BB4"/>
    <w:rsid w:val="009B05EF"/>
    <w:rsid w:val="009D0937"/>
    <w:rsid w:val="009F41E3"/>
    <w:rsid w:val="00A050A7"/>
    <w:rsid w:val="00A1256F"/>
    <w:rsid w:val="00A13D3F"/>
    <w:rsid w:val="00A167AF"/>
    <w:rsid w:val="00A34919"/>
    <w:rsid w:val="00A41B39"/>
    <w:rsid w:val="00A641D4"/>
    <w:rsid w:val="00A6656D"/>
    <w:rsid w:val="00AA0312"/>
    <w:rsid w:val="00AB08BD"/>
    <w:rsid w:val="00AC4649"/>
    <w:rsid w:val="00AC6DAC"/>
    <w:rsid w:val="00AD703F"/>
    <w:rsid w:val="00B03DE7"/>
    <w:rsid w:val="00B1515F"/>
    <w:rsid w:val="00B23C2F"/>
    <w:rsid w:val="00B2565B"/>
    <w:rsid w:val="00B27F79"/>
    <w:rsid w:val="00B34849"/>
    <w:rsid w:val="00B8150C"/>
    <w:rsid w:val="00B842D2"/>
    <w:rsid w:val="00BA2B19"/>
    <w:rsid w:val="00BC112B"/>
    <w:rsid w:val="00BD452D"/>
    <w:rsid w:val="00BD70D9"/>
    <w:rsid w:val="00BE2654"/>
    <w:rsid w:val="00BE6472"/>
    <w:rsid w:val="00BF4C8F"/>
    <w:rsid w:val="00C10D8C"/>
    <w:rsid w:val="00C135E4"/>
    <w:rsid w:val="00C15C17"/>
    <w:rsid w:val="00C31E40"/>
    <w:rsid w:val="00C34F9C"/>
    <w:rsid w:val="00C440DE"/>
    <w:rsid w:val="00C4613C"/>
    <w:rsid w:val="00C568B3"/>
    <w:rsid w:val="00C84017"/>
    <w:rsid w:val="00C96E84"/>
    <w:rsid w:val="00CC2698"/>
    <w:rsid w:val="00CC26F5"/>
    <w:rsid w:val="00CC551D"/>
    <w:rsid w:val="00CC57F3"/>
    <w:rsid w:val="00CD4CF6"/>
    <w:rsid w:val="00CE2706"/>
    <w:rsid w:val="00CF04B0"/>
    <w:rsid w:val="00CF1C96"/>
    <w:rsid w:val="00CF21F1"/>
    <w:rsid w:val="00CF2458"/>
    <w:rsid w:val="00D05A75"/>
    <w:rsid w:val="00D20497"/>
    <w:rsid w:val="00D34460"/>
    <w:rsid w:val="00D447C8"/>
    <w:rsid w:val="00D45A06"/>
    <w:rsid w:val="00D45CCF"/>
    <w:rsid w:val="00D531BD"/>
    <w:rsid w:val="00D622A6"/>
    <w:rsid w:val="00D65424"/>
    <w:rsid w:val="00D70AF5"/>
    <w:rsid w:val="00D86121"/>
    <w:rsid w:val="00DA10C1"/>
    <w:rsid w:val="00DB3701"/>
    <w:rsid w:val="00DD14AA"/>
    <w:rsid w:val="00DD18B0"/>
    <w:rsid w:val="00DD36AA"/>
    <w:rsid w:val="00DE0E9F"/>
    <w:rsid w:val="00DE24D4"/>
    <w:rsid w:val="00DE3AF6"/>
    <w:rsid w:val="00DE64F4"/>
    <w:rsid w:val="00E236E9"/>
    <w:rsid w:val="00E40EFC"/>
    <w:rsid w:val="00E51FCC"/>
    <w:rsid w:val="00E9468B"/>
    <w:rsid w:val="00E94EF4"/>
    <w:rsid w:val="00EB1831"/>
    <w:rsid w:val="00EC23AE"/>
    <w:rsid w:val="00EC5D31"/>
    <w:rsid w:val="00ED185A"/>
    <w:rsid w:val="00F023E9"/>
    <w:rsid w:val="00F155F8"/>
    <w:rsid w:val="00F44B70"/>
    <w:rsid w:val="00F547A2"/>
    <w:rsid w:val="00F67378"/>
    <w:rsid w:val="00F769B0"/>
    <w:rsid w:val="00F86DD8"/>
    <w:rsid w:val="00FB12B7"/>
    <w:rsid w:val="00FC0923"/>
    <w:rsid w:val="00FF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6AE819"/>
  <w15:chartTrackingRefBased/>
  <w15:docId w15:val="{C689982E-A127-42BC-AEA0-7355B6A1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icole">
    <w:name w:val="Nicole"/>
    <w:uiPriority w:val="99"/>
    <w:rsid w:val="00D70AF5"/>
    <w:pPr>
      <w:numPr>
        <w:numId w:val="1"/>
      </w:numPr>
    </w:pPr>
  </w:style>
  <w:style w:type="paragraph" w:styleId="ListParagraph">
    <w:name w:val="List Paragraph"/>
    <w:basedOn w:val="Normal"/>
    <w:uiPriority w:val="34"/>
    <w:qFormat/>
    <w:rsid w:val="00B34849"/>
    <w:pPr>
      <w:ind w:left="720"/>
      <w:contextualSpacing/>
    </w:pPr>
  </w:style>
  <w:style w:type="paragraph" w:styleId="Header">
    <w:name w:val="header"/>
    <w:basedOn w:val="Normal"/>
    <w:link w:val="HeaderChar"/>
    <w:uiPriority w:val="99"/>
    <w:unhideWhenUsed/>
    <w:rsid w:val="00A41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B39"/>
  </w:style>
  <w:style w:type="paragraph" w:styleId="Footer">
    <w:name w:val="footer"/>
    <w:basedOn w:val="Normal"/>
    <w:link w:val="FooterChar"/>
    <w:uiPriority w:val="99"/>
    <w:unhideWhenUsed/>
    <w:rsid w:val="00A41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B39"/>
  </w:style>
  <w:style w:type="paragraph" w:styleId="BalloonText">
    <w:name w:val="Balloon Text"/>
    <w:basedOn w:val="Normal"/>
    <w:link w:val="BalloonTextChar"/>
    <w:uiPriority w:val="99"/>
    <w:semiHidden/>
    <w:unhideWhenUsed/>
    <w:rsid w:val="002C7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FF9"/>
    <w:rPr>
      <w:rFonts w:ascii="Segoe UI" w:hAnsi="Segoe UI" w:cs="Segoe UI"/>
      <w:sz w:val="18"/>
      <w:szCs w:val="18"/>
    </w:rPr>
  </w:style>
  <w:style w:type="character" w:customStyle="1" w:styleId="fontstyle01">
    <w:name w:val="fontstyle01"/>
    <w:basedOn w:val="DefaultParagraphFont"/>
    <w:rsid w:val="00E94EF4"/>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79B3-4E7A-4170-8C25-5CCA62CB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Botti</dc:creator>
  <cp:keywords/>
  <dc:description/>
  <cp:lastModifiedBy>Porter Kirkwood</cp:lastModifiedBy>
  <cp:revision>3</cp:revision>
  <cp:lastPrinted>2020-06-26T18:13:00Z</cp:lastPrinted>
  <dcterms:created xsi:type="dcterms:W3CDTF">2020-10-12T16:00:00Z</dcterms:created>
  <dcterms:modified xsi:type="dcterms:W3CDTF">2020-10-12T16:19:00Z</dcterms:modified>
</cp:coreProperties>
</file>